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A8349F" w14:textId="77777777" w:rsidR="00E1410B" w:rsidRPr="003A208C" w:rsidRDefault="00E1410B" w:rsidP="00E1660D">
      <w:pPr>
        <w:rPr>
          <w:rFonts w:asciiTheme="majorHAnsi" w:hAnsiTheme="majorHAnsi"/>
        </w:rPr>
      </w:pPr>
    </w:p>
    <w:p w14:paraId="2DF7A23C" w14:textId="77777777" w:rsidR="004444E9" w:rsidRPr="003A208C" w:rsidRDefault="00E1660D" w:rsidP="00E1660D">
      <w:pPr>
        <w:rPr>
          <w:rFonts w:asciiTheme="majorHAnsi" w:hAnsiTheme="majorHAnsi"/>
        </w:rPr>
      </w:pPr>
      <w:r w:rsidRPr="003A208C">
        <w:rPr>
          <w:rFonts w:asciiTheme="majorHAnsi" w:hAnsiTheme="majorHAnsi"/>
        </w:rPr>
        <w:t>PROGRAMA DE LAS NACIONES UNIDAS PARA EL DESARROLLO (PNUD)</w:t>
      </w:r>
    </w:p>
    <w:p w14:paraId="1017B5FC" w14:textId="77777777" w:rsidR="00E1660D" w:rsidRPr="003A208C" w:rsidRDefault="00E1660D" w:rsidP="00E1660D">
      <w:pPr>
        <w:jc w:val="center"/>
        <w:rPr>
          <w:rFonts w:asciiTheme="majorHAnsi" w:hAnsiTheme="majorHAnsi"/>
          <w:b/>
        </w:rPr>
      </w:pPr>
    </w:p>
    <w:p w14:paraId="78AD4462" w14:textId="77777777" w:rsidR="00E1660D" w:rsidRPr="003A208C" w:rsidRDefault="00E1660D" w:rsidP="00E1660D">
      <w:pPr>
        <w:jc w:val="center"/>
        <w:rPr>
          <w:rFonts w:asciiTheme="majorHAnsi" w:hAnsiTheme="majorHAnsi"/>
          <w:b/>
        </w:rPr>
      </w:pPr>
    </w:p>
    <w:p w14:paraId="2A255A84" w14:textId="77777777" w:rsidR="00E1660D" w:rsidRPr="003A208C" w:rsidRDefault="00E1660D" w:rsidP="00E1660D">
      <w:pPr>
        <w:jc w:val="center"/>
        <w:rPr>
          <w:rFonts w:asciiTheme="majorHAnsi" w:hAnsiTheme="majorHAnsi"/>
          <w:b/>
        </w:rPr>
      </w:pPr>
    </w:p>
    <w:p w14:paraId="760E379E" w14:textId="77777777" w:rsidR="00E1660D" w:rsidRPr="003A208C" w:rsidRDefault="00E1660D" w:rsidP="00E1660D">
      <w:pPr>
        <w:jc w:val="center"/>
        <w:rPr>
          <w:rFonts w:asciiTheme="majorHAnsi" w:hAnsiTheme="majorHAnsi"/>
          <w:b/>
        </w:rPr>
      </w:pPr>
    </w:p>
    <w:p w14:paraId="1A78950C" w14:textId="77777777" w:rsidR="00E1660D" w:rsidRPr="003A208C" w:rsidRDefault="00E1660D" w:rsidP="00E1660D">
      <w:pPr>
        <w:jc w:val="center"/>
        <w:rPr>
          <w:rFonts w:asciiTheme="majorHAnsi" w:hAnsiTheme="majorHAnsi"/>
          <w:b/>
        </w:rPr>
      </w:pPr>
    </w:p>
    <w:p w14:paraId="1EFAAF86" w14:textId="77777777" w:rsidR="00E1660D" w:rsidRPr="003A208C" w:rsidRDefault="00E1660D" w:rsidP="00E1660D">
      <w:pPr>
        <w:jc w:val="center"/>
        <w:rPr>
          <w:rFonts w:asciiTheme="majorHAnsi" w:hAnsiTheme="majorHAnsi"/>
          <w:b/>
        </w:rPr>
      </w:pPr>
      <w:r w:rsidRPr="003A208C">
        <w:rPr>
          <w:rFonts w:asciiTheme="majorHAnsi" w:hAnsiTheme="majorHAnsi"/>
          <w:b/>
        </w:rPr>
        <w:t>INFORME DE EVALUACIÓN EX ANTE</w:t>
      </w:r>
    </w:p>
    <w:p w14:paraId="122C6A12" w14:textId="77777777" w:rsidR="00E1660D" w:rsidRPr="003A208C" w:rsidRDefault="00E1660D" w:rsidP="00E1660D">
      <w:pPr>
        <w:jc w:val="center"/>
        <w:rPr>
          <w:rFonts w:asciiTheme="majorHAnsi" w:hAnsiTheme="majorHAnsi"/>
          <w:b/>
        </w:rPr>
      </w:pPr>
    </w:p>
    <w:p w14:paraId="4CEDE577" w14:textId="77777777" w:rsidR="00E1660D" w:rsidRPr="003A208C" w:rsidRDefault="00E1660D" w:rsidP="00E1660D">
      <w:pPr>
        <w:jc w:val="center"/>
        <w:rPr>
          <w:rFonts w:asciiTheme="majorHAnsi" w:hAnsiTheme="majorHAnsi"/>
          <w:b/>
        </w:rPr>
      </w:pPr>
    </w:p>
    <w:p w14:paraId="5D88F785" w14:textId="77777777" w:rsidR="00E1660D" w:rsidRPr="003A208C" w:rsidRDefault="00E1660D" w:rsidP="00E1660D">
      <w:pPr>
        <w:jc w:val="center"/>
        <w:rPr>
          <w:rFonts w:asciiTheme="majorHAnsi" w:eastAsia="Times New Roman" w:hAnsiTheme="majorHAnsi"/>
          <w:b/>
        </w:rPr>
      </w:pPr>
      <w:r w:rsidRPr="003A208C">
        <w:rPr>
          <w:rFonts w:asciiTheme="majorHAnsi" w:hAnsiTheme="majorHAnsi"/>
          <w:b/>
        </w:rPr>
        <w:t>Proyecto PNUD ARG/20/008</w:t>
      </w:r>
      <w:r w:rsidR="004444E9" w:rsidRPr="003A208C">
        <w:rPr>
          <w:rFonts w:asciiTheme="majorHAnsi" w:eastAsia="Times New Roman" w:hAnsiTheme="majorHAnsi"/>
          <w:b/>
        </w:rPr>
        <w:t xml:space="preserve"> </w:t>
      </w:r>
    </w:p>
    <w:p w14:paraId="6A8C9BBB" w14:textId="77777777" w:rsidR="00E1660D" w:rsidRPr="003A208C" w:rsidRDefault="00E1660D" w:rsidP="00E1660D">
      <w:pPr>
        <w:jc w:val="center"/>
        <w:rPr>
          <w:rFonts w:asciiTheme="majorHAnsi" w:eastAsia="Times New Roman" w:hAnsiTheme="majorHAnsi"/>
          <w:b/>
        </w:rPr>
      </w:pPr>
    </w:p>
    <w:p w14:paraId="2F3F3CC9" w14:textId="77777777" w:rsidR="00E1660D" w:rsidRPr="003A208C" w:rsidRDefault="00E1660D" w:rsidP="00E1660D">
      <w:pPr>
        <w:jc w:val="center"/>
        <w:rPr>
          <w:rFonts w:asciiTheme="majorHAnsi" w:eastAsia="Times New Roman" w:hAnsiTheme="majorHAnsi"/>
          <w:b/>
        </w:rPr>
      </w:pPr>
    </w:p>
    <w:p w14:paraId="280BBB6B" w14:textId="77777777" w:rsidR="004444E9" w:rsidRPr="003A208C" w:rsidRDefault="004444E9" w:rsidP="00E1660D">
      <w:pPr>
        <w:jc w:val="center"/>
        <w:rPr>
          <w:rFonts w:asciiTheme="majorHAnsi" w:eastAsia="Calibri" w:hAnsiTheme="majorHAnsi"/>
          <w:b/>
        </w:rPr>
      </w:pPr>
      <w:r w:rsidRPr="003A208C">
        <w:rPr>
          <w:rFonts w:asciiTheme="majorHAnsi" w:eastAsia="Times New Roman" w:hAnsiTheme="majorHAnsi"/>
          <w:b/>
        </w:rPr>
        <w:t>“</w:t>
      </w:r>
      <w:r w:rsidRPr="003A208C">
        <w:rPr>
          <w:rFonts w:asciiTheme="majorHAnsi" w:eastAsia="Calibri" w:hAnsiTheme="majorHAnsi"/>
          <w:b/>
        </w:rPr>
        <w:t>Promoción de la inclusión digital y la igualdad a través de la Innovación Pública Federal”</w:t>
      </w:r>
    </w:p>
    <w:p w14:paraId="6521CDE3" w14:textId="77777777" w:rsidR="00E1660D" w:rsidRPr="003A208C" w:rsidRDefault="00E1660D" w:rsidP="00E1660D">
      <w:pPr>
        <w:rPr>
          <w:rFonts w:asciiTheme="majorHAnsi" w:eastAsia="Times New Roman" w:hAnsiTheme="majorHAnsi"/>
        </w:rPr>
      </w:pPr>
    </w:p>
    <w:p w14:paraId="5CE46B62" w14:textId="77777777" w:rsidR="00E1660D" w:rsidRPr="003A208C" w:rsidRDefault="00E1660D" w:rsidP="00E1660D">
      <w:pPr>
        <w:rPr>
          <w:rFonts w:asciiTheme="majorHAnsi" w:eastAsia="Times New Roman" w:hAnsiTheme="majorHAnsi"/>
        </w:rPr>
      </w:pPr>
    </w:p>
    <w:p w14:paraId="41F87A59" w14:textId="77777777" w:rsidR="00E1660D" w:rsidRPr="003A208C" w:rsidRDefault="00E1660D" w:rsidP="00E1660D">
      <w:pPr>
        <w:rPr>
          <w:rFonts w:asciiTheme="majorHAnsi" w:eastAsia="Times New Roman" w:hAnsiTheme="majorHAnsi"/>
        </w:rPr>
      </w:pPr>
    </w:p>
    <w:p w14:paraId="747A89D0" w14:textId="77777777" w:rsidR="00E1660D" w:rsidRPr="003A208C" w:rsidRDefault="00E1660D" w:rsidP="00E1660D">
      <w:pPr>
        <w:rPr>
          <w:rFonts w:asciiTheme="majorHAnsi" w:eastAsia="Calibri" w:hAnsiTheme="majorHAnsi"/>
        </w:rPr>
      </w:pPr>
    </w:p>
    <w:p w14:paraId="1C05D678" w14:textId="77777777" w:rsidR="00E1660D" w:rsidRPr="003A208C" w:rsidRDefault="00E1660D" w:rsidP="00E1660D">
      <w:pPr>
        <w:rPr>
          <w:rFonts w:asciiTheme="majorHAnsi" w:eastAsia="Calibri" w:hAnsiTheme="majorHAnsi"/>
        </w:rPr>
      </w:pPr>
    </w:p>
    <w:p w14:paraId="27016E45" w14:textId="77777777" w:rsidR="00E1660D" w:rsidRPr="003A208C" w:rsidRDefault="00E1660D" w:rsidP="00E1660D">
      <w:pPr>
        <w:rPr>
          <w:rFonts w:asciiTheme="majorHAnsi" w:eastAsia="Calibri" w:hAnsiTheme="majorHAnsi"/>
        </w:rPr>
      </w:pPr>
    </w:p>
    <w:p w14:paraId="7CF01B23" w14:textId="77777777" w:rsidR="00E1660D" w:rsidRPr="003A208C" w:rsidRDefault="00E1660D" w:rsidP="00E1660D">
      <w:pPr>
        <w:rPr>
          <w:rFonts w:asciiTheme="majorHAnsi" w:eastAsia="Calibri" w:hAnsiTheme="majorHAnsi"/>
        </w:rPr>
      </w:pPr>
    </w:p>
    <w:p w14:paraId="224E1842" w14:textId="77777777" w:rsidR="00E1660D" w:rsidRPr="003A208C" w:rsidRDefault="00E1660D" w:rsidP="00E1660D">
      <w:pPr>
        <w:rPr>
          <w:rFonts w:asciiTheme="majorHAnsi" w:eastAsia="Calibri" w:hAnsiTheme="majorHAnsi"/>
        </w:rPr>
      </w:pPr>
    </w:p>
    <w:p w14:paraId="29057046" w14:textId="77777777" w:rsidR="00E1660D" w:rsidRPr="003A208C" w:rsidRDefault="00E1660D" w:rsidP="00E1660D">
      <w:pPr>
        <w:rPr>
          <w:rFonts w:asciiTheme="majorHAnsi" w:eastAsia="Calibri" w:hAnsiTheme="majorHAnsi"/>
        </w:rPr>
      </w:pPr>
    </w:p>
    <w:p w14:paraId="50B0EE2B" w14:textId="77777777" w:rsidR="004444E9" w:rsidRPr="003A208C" w:rsidRDefault="004444E9" w:rsidP="00E1660D">
      <w:pPr>
        <w:rPr>
          <w:rFonts w:asciiTheme="majorHAnsi" w:eastAsia="Calibri" w:hAnsiTheme="majorHAnsi"/>
        </w:rPr>
      </w:pPr>
    </w:p>
    <w:p w14:paraId="2EADBF10" w14:textId="77777777" w:rsidR="00E1660D" w:rsidRPr="003A208C" w:rsidRDefault="00E1660D" w:rsidP="00E1660D">
      <w:pPr>
        <w:rPr>
          <w:rFonts w:asciiTheme="majorHAnsi" w:eastAsia="Calibri" w:hAnsiTheme="majorHAnsi"/>
        </w:rPr>
      </w:pPr>
    </w:p>
    <w:p w14:paraId="5A87A1AD" w14:textId="77777777" w:rsidR="00E1660D" w:rsidRPr="003A208C" w:rsidRDefault="00E1660D" w:rsidP="00E1660D">
      <w:pPr>
        <w:rPr>
          <w:rFonts w:asciiTheme="majorHAnsi" w:eastAsia="Calibri" w:hAnsiTheme="majorHAnsi"/>
        </w:rPr>
      </w:pPr>
    </w:p>
    <w:p w14:paraId="20525406" w14:textId="77777777" w:rsidR="00E1660D" w:rsidRPr="003A208C" w:rsidRDefault="00E1660D" w:rsidP="00E1660D">
      <w:pPr>
        <w:rPr>
          <w:rFonts w:asciiTheme="majorHAnsi" w:eastAsia="Calibri" w:hAnsiTheme="majorHAnsi"/>
        </w:rPr>
      </w:pPr>
    </w:p>
    <w:p w14:paraId="116E2C6B" w14:textId="77777777" w:rsidR="00E1660D" w:rsidRPr="003A208C" w:rsidRDefault="00E1660D" w:rsidP="00E1660D">
      <w:pPr>
        <w:rPr>
          <w:rFonts w:asciiTheme="majorHAnsi" w:eastAsia="Calibri" w:hAnsiTheme="majorHAnsi"/>
        </w:rPr>
      </w:pPr>
    </w:p>
    <w:p w14:paraId="4AAACE3A" w14:textId="77777777" w:rsidR="00E1660D" w:rsidRPr="003A208C" w:rsidRDefault="00E1660D" w:rsidP="00E1660D">
      <w:pPr>
        <w:jc w:val="right"/>
        <w:rPr>
          <w:rFonts w:asciiTheme="majorHAnsi" w:eastAsia="Calibri" w:hAnsiTheme="majorHAnsi"/>
        </w:rPr>
      </w:pPr>
      <w:r w:rsidRPr="003A208C">
        <w:rPr>
          <w:rFonts w:asciiTheme="majorHAnsi" w:eastAsia="Calibri" w:hAnsiTheme="majorHAnsi"/>
        </w:rPr>
        <w:t>Milena Leivi</w:t>
      </w:r>
    </w:p>
    <w:p w14:paraId="15B65A3E" w14:textId="2D3E8082" w:rsidR="00E1660D" w:rsidRPr="003A208C" w:rsidRDefault="00E37ED6" w:rsidP="00E1660D">
      <w:pPr>
        <w:jc w:val="right"/>
        <w:rPr>
          <w:rFonts w:asciiTheme="majorHAnsi" w:eastAsia="Calibri" w:hAnsiTheme="majorHAnsi"/>
        </w:rPr>
      </w:pPr>
      <w:r>
        <w:rPr>
          <w:rFonts w:asciiTheme="majorHAnsi" w:eastAsia="Calibri" w:hAnsiTheme="majorHAnsi"/>
        </w:rPr>
        <w:t>22</w:t>
      </w:r>
      <w:r w:rsidR="00E1660D" w:rsidRPr="003A208C">
        <w:rPr>
          <w:rFonts w:asciiTheme="majorHAnsi" w:eastAsia="Calibri" w:hAnsiTheme="majorHAnsi"/>
        </w:rPr>
        <w:t xml:space="preserve"> de diciembre de 2020</w:t>
      </w:r>
    </w:p>
    <w:p w14:paraId="34460E4E" w14:textId="7E9F874C" w:rsidR="004E1617" w:rsidRPr="003A208C" w:rsidRDefault="004E1617">
      <w:pPr>
        <w:spacing w:after="0"/>
        <w:jc w:val="left"/>
        <w:rPr>
          <w:rFonts w:asciiTheme="majorHAnsi" w:eastAsia="Calibri" w:hAnsiTheme="majorHAnsi"/>
        </w:rPr>
      </w:pPr>
      <w:r w:rsidRPr="003A208C">
        <w:rPr>
          <w:rFonts w:asciiTheme="majorHAnsi" w:eastAsia="Calibri" w:hAnsiTheme="majorHAnsi"/>
        </w:rPr>
        <w:br w:type="page"/>
      </w:r>
    </w:p>
    <w:p w14:paraId="49165AF5" w14:textId="77777777" w:rsidR="004E1617" w:rsidRPr="003A208C" w:rsidRDefault="004E1617" w:rsidP="00AB5E92">
      <w:pPr>
        <w:rPr>
          <w:rFonts w:asciiTheme="majorHAnsi" w:eastAsia="Calibri" w:hAnsiTheme="majorHAnsi"/>
        </w:rPr>
      </w:pPr>
    </w:p>
    <w:p w14:paraId="54A3F99D" w14:textId="77777777" w:rsidR="00AB5E92" w:rsidRPr="003A208C" w:rsidRDefault="00AB5E92" w:rsidP="00AB5E92">
      <w:pPr>
        <w:numPr>
          <w:ilvl w:val="0"/>
          <w:numId w:val="1"/>
        </w:numPr>
        <w:spacing w:before="120" w:after="120"/>
        <w:jc w:val="left"/>
        <w:textAlignment w:val="baseline"/>
        <w:rPr>
          <w:rFonts w:asciiTheme="majorHAnsi" w:eastAsiaTheme="minorEastAsia" w:hAnsiTheme="majorHAnsi" w:cs="Times New Roman"/>
          <w:b/>
          <w:bCs/>
          <w:color w:val="000000"/>
          <w:lang w:eastAsia="es-ES"/>
        </w:rPr>
      </w:pPr>
      <w:r w:rsidRPr="003A208C">
        <w:rPr>
          <w:rFonts w:asciiTheme="majorHAnsi" w:eastAsiaTheme="minorEastAsia" w:hAnsiTheme="majorHAnsi" w:cs="Times New Roman"/>
          <w:b/>
          <w:bCs/>
          <w:color w:val="000000"/>
          <w:lang w:eastAsia="es-ES"/>
        </w:rPr>
        <w:t>Introducción</w:t>
      </w:r>
    </w:p>
    <w:p w14:paraId="60D78038" w14:textId="2329B35C" w:rsidR="00C41E87" w:rsidRPr="003A208C" w:rsidRDefault="00616669" w:rsidP="00AB5E92">
      <w:pPr>
        <w:spacing w:before="120" w:after="120"/>
        <w:rPr>
          <w:rFonts w:asciiTheme="majorHAnsi" w:eastAsiaTheme="minorEastAsia" w:hAnsiTheme="majorHAnsi" w:cs="Times New Roman"/>
          <w:color w:val="000000"/>
          <w:lang w:eastAsia="es-ES"/>
        </w:rPr>
      </w:pPr>
      <w:r w:rsidRPr="003A208C">
        <w:rPr>
          <w:rFonts w:asciiTheme="majorHAnsi" w:eastAsiaTheme="minorEastAsia" w:hAnsiTheme="majorHAnsi" w:cs="Times New Roman"/>
          <w:color w:val="000000"/>
          <w:lang w:eastAsia="es-ES"/>
        </w:rPr>
        <w:t xml:space="preserve">El presente informe presenta los resultados de la Evaluación Ex Ante del Proyecto </w:t>
      </w:r>
      <w:r w:rsidRPr="003A208C">
        <w:rPr>
          <w:rFonts w:asciiTheme="majorHAnsi" w:eastAsiaTheme="minorEastAsia" w:hAnsiTheme="majorHAnsi" w:cs="Times New Roman"/>
          <w:b/>
          <w:color w:val="000000"/>
          <w:lang w:eastAsia="es-ES"/>
        </w:rPr>
        <w:t>ARG/20/008 “Promoción de la inclusión digital y la igualdad a través de la Innovación Pública Federal”</w:t>
      </w:r>
      <w:r w:rsidR="00AB5E92" w:rsidRPr="003A208C">
        <w:rPr>
          <w:rFonts w:asciiTheme="majorHAnsi" w:eastAsiaTheme="minorEastAsia" w:hAnsiTheme="majorHAnsi" w:cs="Times New Roman"/>
          <w:color w:val="000000"/>
          <w:lang w:eastAsia="es-ES"/>
        </w:rPr>
        <w:t xml:space="preserve">. </w:t>
      </w:r>
      <w:r w:rsidR="00C41E87" w:rsidRPr="003A208C">
        <w:rPr>
          <w:rFonts w:asciiTheme="majorHAnsi" w:eastAsiaTheme="minorEastAsia" w:hAnsiTheme="majorHAnsi" w:cs="Times New Roman"/>
          <w:color w:val="000000"/>
          <w:lang w:eastAsia="es-ES"/>
        </w:rPr>
        <w:t>El proyecto, a ser implementado por la Subsecretaría de Gestión Administrativa de Innovación Pública de la Secretaría de Innovación Pública de la Jefatura de Gabinete de Ministros de la Nación, tiene como objetivo implementar intervenciones innovadoras que contribuyan a acotar las brechas digitales y promuevan la inc</w:t>
      </w:r>
      <w:r w:rsidR="00897702" w:rsidRPr="003A208C">
        <w:rPr>
          <w:rFonts w:asciiTheme="majorHAnsi" w:eastAsiaTheme="minorEastAsia" w:hAnsiTheme="majorHAnsi" w:cs="Times New Roman"/>
          <w:color w:val="000000"/>
          <w:lang w:eastAsia="es-ES"/>
        </w:rPr>
        <w:t>lusión digital a nivel federal.</w:t>
      </w:r>
      <w:r w:rsidR="00C41E87" w:rsidRPr="003A208C">
        <w:rPr>
          <w:rFonts w:asciiTheme="majorHAnsi" w:eastAsiaTheme="minorEastAsia" w:hAnsiTheme="majorHAnsi" w:cs="Times New Roman"/>
          <w:color w:val="000000"/>
          <w:lang w:eastAsia="es-ES"/>
        </w:rPr>
        <w:t xml:space="preserve"> Mediante el fortalecimiento de la infraestructura tecnológica y de conectividad, la universalización en el acceso a las TICs y los servicios y conocimientos digitales, se espera alcanzar un rol más eficiente del Estado promoviendo la innovación pública para la inclusión digital de la población con perspectiva de género.</w:t>
      </w:r>
    </w:p>
    <w:p w14:paraId="5D2AE802" w14:textId="77777777" w:rsidR="00C41E87" w:rsidRPr="003A208C" w:rsidRDefault="00C41E87" w:rsidP="00AB5E92">
      <w:pPr>
        <w:spacing w:before="120" w:after="120"/>
        <w:rPr>
          <w:rFonts w:asciiTheme="majorHAnsi" w:eastAsiaTheme="minorEastAsia" w:hAnsiTheme="majorHAnsi" w:cs="Times New Roman"/>
          <w:color w:val="000000"/>
          <w:lang w:eastAsia="es-ES"/>
        </w:rPr>
      </w:pPr>
    </w:p>
    <w:p w14:paraId="567B538B" w14:textId="71B87CF2" w:rsidR="00897702" w:rsidRPr="003A208C" w:rsidRDefault="00897702" w:rsidP="00897702">
      <w:pPr>
        <w:spacing w:after="200"/>
        <w:rPr>
          <w:rFonts w:asciiTheme="majorHAnsi" w:eastAsiaTheme="minorEastAsia" w:hAnsiTheme="majorHAnsi" w:cs="Times New Roman"/>
          <w:color w:val="000000"/>
          <w:lang w:eastAsia="es-ES"/>
        </w:rPr>
      </w:pPr>
      <w:r w:rsidRPr="003A208C">
        <w:rPr>
          <w:rFonts w:asciiTheme="majorHAnsi" w:eastAsiaTheme="minorEastAsia" w:hAnsiTheme="majorHAnsi" w:cs="Times New Roman"/>
          <w:color w:val="000000"/>
          <w:lang w:eastAsia="es-ES"/>
        </w:rPr>
        <w:t xml:space="preserve">La duración prevista del proyecto es de 3 años (30 de diciembre 2020 – 31 de diciembre 2023) con un presupuesto total de US$ 11.660.000, es financiado con fondos de Gobierno remanentes del proyecto ARG/12/012 </w:t>
      </w:r>
      <w:r w:rsidRPr="003A208C">
        <w:rPr>
          <w:rFonts w:asciiTheme="majorHAnsi" w:hAnsiTheme="majorHAnsi"/>
          <w:color w:val="000000"/>
        </w:rPr>
        <w:t>“Promover y fortalecer las estrategias gubernamentales de la Subsecretaría de Gestión Administrativa de Innovación Pública de la Secretaría de Innovación Pública de la Jefatura de Gabinete de Ministros para mejorar la atención al ciudadano y contribuir a la institucionalización de una gestión pública de calidad”</w:t>
      </w:r>
      <w:r w:rsidRPr="003A208C">
        <w:rPr>
          <w:rFonts w:asciiTheme="majorHAnsi" w:eastAsiaTheme="minorEastAsia" w:hAnsiTheme="majorHAnsi" w:cs="Times New Roman"/>
          <w:color w:val="000000"/>
          <w:lang w:eastAsia="es-ES"/>
        </w:rPr>
        <w:t>.</w:t>
      </w:r>
    </w:p>
    <w:p w14:paraId="31ABCBD6" w14:textId="52AE91DC" w:rsidR="00AB5E92" w:rsidRPr="003A208C" w:rsidRDefault="00897702" w:rsidP="00897702">
      <w:pPr>
        <w:spacing w:after="200"/>
        <w:rPr>
          <w:rFonts w:asciiTheme="majorHAnsi" w:eastAsiaTheme="minorEastAsia" w:hAnsiTheme="majorHAnsi" w:cs="Times New Roman"/>
          <w:lang w:eastAsia="es-ES"/>
        </w:rPr>
      </w:pPr>
      <w:r w:rsidRPr="003A208C">
        <w:rPr>
          <w:rFonts w:asciiTheme="majorHAnsi" w:eastAsiaTheme="minorEastAsia" w:hAnsiTheme="majorHAnsi" w:cs="Times New Roman"/>
          <w:color w:val="000000"/>
          <w:lang w:eastAsia="es-ES"/>
        </w:rPr>
        <w:t>La evaluación se realizó de acuerdo a los términos de referencia establecidos en el documento “Términos de Referencia para Evaluador/a Ex Ante de Proyectos PNUD”, fue realizada durante la semana del 14 de diciembre de 2020 y contempló los siguientes aspectos clave:</w:t>
      </w:r>
    </w:p>
    <w:p w14:paraId="26B79561" w14:textId="569CAA1B" w:rsidR="00AB5E92" w:rsidRPr="003A208C" w:rsidRDefault="00F41C5C" w:rsidP="00AB5E92">
      <w:pPr>
        <w:numPr>
          <w:ilvl w:val="0"/>
          <w:numId w:val="2"/>
        </w:numPr>
        <w:spacing w:before="120" w:after="0"/>
        <w:textAlignment w:val="baseline"/>
        <w:rPr>
          <w:rFonts w:asciiTheme="majorHAnsi" w:eastAsiaTheme="minorEastAsia" w:hAnsiTheme="majorHAnsi" w:cs="Times New Roman"/>
          <w:color w:val="000000"/>
          <w:lang w:eastAsia="es-ES"/>
        </w:rPr>
      </w:pPr>
      <w:r w:rsidRPr="003A208C">
        <w:rPr>
          <w:rFonts w:asciiTheme="majorHAnsi" w:eastAsiaTheme="minorEastAsia" w:hAnsiTheme="majorHAnsi" w:cs="Times New Roman"/>
          <w:color w:val="000000"/>
          <w:lang w:eastAsia="es-ES"/>
        </w:rPr>
        <w:t>La adecuación de la propuesta a las necesidades del país y a la planificación estratégica del PNUD.</w:t>
      </w:r>
    </w:p>
    <w:p w14:paraId="6BEA6C66" w14:textId="7B39FDD1" w:rsidR="00AB5E92" w:rsidRPr="003A208C" w:rsidRDefault="00F41C5C" w:rsidP="00AB5E92">
      <w:pPr>
        <w:numPr>
          <w:ilvl w:val="0"/>
          <w:numId w:val="2"/>
        </w:numPr>
        <w:spacing w:after="0"/>
        <w:textAlignment w:val="baseline"/>
        <w:rPr>
          <w:rFonts w:asciiTheme="majorHAnsi" w:eastAsiaTheme="minorEastAsia" w:hAnsiTheme="majorHAnsi" w:cs="Times New Roman"/>
          <w:color w:val="000000"/>
          <w:lang w:eastAsia="es-ES"/>
        </w:rPr>
      </w:pPr>
      <w:r w:rsidRPr="003A208C">
        <w:rPr>
          <w:rFonts w:asciiTheme="majorHAnsi" w:eastAsiaTheme="minorEastAsia" w:hAnsiTheme="majorHAnsi" w:cs="Times New Roman"/>
          <w:color w:val="000000"/>
          <w:lang w:eastAsia="es-ES"/>
        </w:rPr>
        <w:t>El contexto político-institucional</w:t>
      </w:r>
      <w:r w:rsidR="00AB5E92" w:rsidRPr="003A208C">
        <w:rPr>
          <w:rFonts w:asciiTheme="majorHAnsi" w:eastAsiaTheme="minorEastAsia" w:hAnsiTheme="majorHAnsi" w:cs="Times New Roman"/>
          <w:color w:val="000000"/>
          <w:lang w:eastAsia="es-ES"/>
        </w:rPr>
        <w:t>. </w:t>
      </w:r>
    </w:p>
    <w:p w14:paraId="34D6DEAC" w14:textId="4E462BA9" w:rsidR="00F41C5C" w:rsidRPr="003A208C" w:rsidRDefault="00F41C5C" w:rsidP="00AB5E92">
      <w:pPr>
        <w:numPr>
          <w:ilvl w:val="0"/>
          <w:numId w:val="2"/>
        </w:numPr>
        <w:spacing w:after="120"/>
        <w:textAlignment w:val="baseline"/>
        <w:rPr>
          <w:rFonts w:asciiTheme="majorHAnsi" w:eastAsiaTheme="minorEastAsia" w:hAnsiTheme="majorHAnsi" w:cs="Times New Roman"/>
          <w:color w:val="000000"/>
          <w:lang w:eastAsia="es-ES"/>
        </w:rPr>
      </w:pPr>
      <w:r w:rsidRPr="003A208C">
        <w:rPr>
          <w:rFonts w:asciiTheme="majorHAnsi" w:eastAsiaTheme="minorEastAsia" w:hAnsiTheme="majorHAnsi" w:cs="Times New Roman"/>
          <w:color w:val="000000"/>
          <w:lang w:eastAsia="es-ES"/>
        </w:rPr>
        <w:t xml:space="preserve">La adecuación de la propuesta técnica a los objetivos y metas enunciados por el proyecto. </w:t>
      </w:r>
    </w:p>
    <w:p w14:paraId="047A4F48" w14:textId="3FDA7F46" w:rsidR="00AB5E92" w:rsidRPr="003A208C" w:rsidRDefault="00ED777F" w:rsidP="00AB5E92">
      <w:pPr>
        <w:numPr>
          <w:ilvl w:val="0"/>
          <w:numId w:val="2"/>
        </w:numPr>
        <w:spacing w:after="120"/>
        <w:textAlignment w:val="baseline"/>
        <w:rPr>
          <w:rFonts w:asciiTheme="majorHAnsi" w:eastAsiaTheme="minorEastAsia" w:hAnsiTheme="majorHAnsi" w:cs="Times New Roman"/>
          <w:color w:val="000000"/>
          <w:lang w:eastAsia="es-ES"/>
        </w:rPr>
      </w:pPr>
      <w:r w:rsidRPr="003A208C">
        <w:rPr>
          <w:rFonts w:asciiTheme="majorHAnsi" w:eastAsiaTheme="minorEastAsia" w:hAnsiTheme="majorHAnsi" w:cs="Times New Roman"/>
          <w:color w:val="000000"/>
          <w:lang w:eastAsia="es-ES"/>
        </w:rPr>
        <w:t>El Diagnóstico Social y Ambiental elaborado por el PNUD.</w:t>
      </w:r>
    </w:p>
    <w:p w14:paraId="30712A35" w14:textId="73702686" w:rsidR="00925220" w:rsidRPr="003A208C" w:rsidRDefault="00AB5E92" w:rsidP="000B24FC">
      <w:pPr>
        <w:spacing w:before="120" w:after="120"/>
        <w:rPr>
          <w:rFonts w:asciiTheme="majorHAnsi" w:eastAsiaTheme="minorEastAsia" w:hAnsiTheme="majorHAnsi" w:cs="Times New Roman"/>
          <w:color w:val="000000"/>
          <w:lang w:eastAsia="es-ES"/>
        </w:rPr>
      </w:pPr>
      <w:r w:rsidRPr="003A208C">
        <w:rPr>
          <w:rFonts w:asciiTheme="majorHAnsi" w:eastAsiaTheme="minorEastAsia" w:hAnsiTheme="majorHAnsi" w:cs="Times New Roman"/>
          <w:color w:val="000000"/>
          <w:lang w:eastAsia="es-ES"/>
        </w:rPr>
        <w:t>Con el propósito de cumplir los alcances propuesto</w:t>
      </w:r>
      <w:r w:rsidR="00066008" w:rsidRPr="003A208C">
        <w:rPr>
          <w:rFonts w:asciiTheme="majorHAnsi" w:eastAsiaTheme="minorEastAsia" w:hAnsiTheme="majorHAnsi" w:cs="Times New Roman"/>
          <w:color w:val="000000"/>
          <w:lang w:eastAsia="es-ES"/>
        </w:rPr>
        <w:t xml:space="preserve">s en los TDRs </w:t>
      </w:r>
      <w:r w:rsidRPr="003A208C">
        <w:rPr>
          <w:rFonts w:asciiTheme="majorHAnsi" w:eastAsiaTheme="minorEastAsia" w:hAnsiTheme="majorHAnsi" w:cs="Times New Roman"/>
          <w:color w:val="000000"/>
          <w:lang w:eastAsia="es-ES"/>
        </w:rPr>
        <w:t xml:space="preserve">se llevó a cabo la revisión de </w:t>
      </w:r>
      <w:r w:rsidR="00066008" w:rsidRPr="003A208C">
        <w:rPr>
          <w:rFonts w:asciiTheme="majorHAnsi" w:eastAsiaTheme="minorEastAsia" w:hAnsiTheme="majorHAnsi" w:cs="Times New Roman"/>
          <w:color w:val="000000"/>
          <w:lang w:eastAsia="es-ES"/>
        </w:rPr>
        <w:t>instrumentos</w:t>
      </w:r>
      <w:r w:rsidRPr="003A208C">
        <w:rPr>
          <w:rFonts w:asciiTheme="majorHAnsi" w:eastAsiaTheme="minorEastAsia" w:hAnsiTheme="majorHAnsi" w:cs="Times New Roman"/>
          <w:color w:val="000000"/>
          <w:lang w:eastAsia="es-ES"/>
        </w:rPr>
        <w:t xml:space="preserve"> </w:t>
      </w:r>
      <w:r w:rsidR="00066008" w:rsidRPr="003A208C">
        <w:rPr>
          <w:rFonts w:asciiTheme="majorHAnsi" w:eastAsiaTheme="minorEastAsia" w:hAnsiTheme="majorHAnsi" w:cs="Times New Roman"/>
          <w:color w:val="000000"/>
          <w:lang w:eastAsia="es-ES"/>
        </w:rPr>
        <w:t xml:space="preserve">programáticos del PNUD y el documento de proyecto, así como </w:t>
      </w:r>
      <w:r w:rsidRPr="003A208C">
        <w:rPr>
          <w:rFonts w:asciiTheme="majorHAnsi" w:eastAsiaTheme="minorEastAsia" w:hAnsiTheme="majorHAnsi" w:cs="Times New Roman"/>
          <w:color w:val="000000"/>
          <w:lang w:eastAsia="es-ES"/>
        </w:rPr>
        <w:t xml:space="preserve">de </w:t>
      </w:r>
      <w:r w:rsidR="00066008" w:rsidRPr="003A208C">
        <w:rPr>
          <w:rFonts w:asciiTheme="majorHAnsi" w:eastAsiaTheme="minorEastAsia" w:hAnsiTheme="majorHAnsi" w:cs="Times New Roman"/>
          <w:color w:val="000000"/>
          <w:lang w:eastAsia="es-ES"/>
        </w:rPr>
        <w:t>insumos que permita</w:t>
      </w:r>
      <w:r w:rsidRPr="003A208C">
        <w:rPr>
          <w:rFonts w:asciiTheme="majorHAnsi" w:eastAsiaTheme="minorEastAsia" w:hAnsiTheme="majorHAnsi" w:cs="Times New Roman"/>
          <w:color w:val="000000"/>
          <w:lang w:eastAsia="es-ES"/>
        </w:rPr>
        <w:t xml:space="preserve">n </w:t>
      </w:r>
      <w:r w:rsidR="00066008" w:rsidRPr="003A208C">
        <w:rPr>
          <w:rFonts w:asciiTheme="majorHAnsi" w:eastAsiaTheme="minorEastAsia" w:hAnsiTheme="majorHAnsi" w:cs="Times New Roman"/>
          <w:color w:val="000000"/>
          <w:lang w:eastAsia="es-ES"/>
        </w:rPr>
        <w:t xml:space="preserve">obtener un diagnóstico y </w:t>
      </w:r>
      <w:r w:rsidRPr="003A208C">
        <w:rPr>
          <w:rFonts w:asciiTheme="majorHAnsi" w:eastAsiaTheme="minorEastAsia" w:hAnsiTheme="majorHAnsi" w:cs="Times New Roman"/>
          <w:color w:val="000000"/>
          <w:lang w:eastAsia="es-ES"/>
        </w:rPr>
        <w:t>aclarar las necesidades y problemática a la cual pretende responder el Proyecto y su propuesta técnica. A fin de obtener información y conocer en detalle los aspectos institucionales y técnicos</w:t>
      </w:r>
      <w:r w:rsidR="008E0289" w:rsidRPr="003A208C">
        <w:rPr>
          <w:rFonts w:asciiTheme="majorHAnsi" w:eastAsiaTheme="minorEastAsia" w:hAnsiTheme="majorHAnsi" w:cs="Times New Roman"/>
          <w:color w:val="000000"/>
          <w:lang w:eastAsia="es-ES"/>
        </w:rPr>
        <w:t>, se realizó una entrevista</w:t>
      </w:r>
      <w:r w:rsidR="00066008" w:rsidRPr="003A208C">
        <w:rPr>
          <w:rFonts w:asciiTheme="majorHAnsi" w:eastAsiaTheme="minorEastAsia" w:hAnsiTheme="majorHAnsi" w:cs="Times New Roman"/>
          <w:color w:val="000000"/>
          <w:lang w:eastAsia="es-ES"/>
        </w:rPr>
        <w:t xml:space="preserve"> con la </w:t>
      </w:r>
      <w:r w:rsidR="008E0289" w:rsidRPr="003A208C">
        <w:rPr>
          <w:rFonts w:asciiTheme="majorHAnsi" w:eastAsiaTheme="minorEastAsia" w:hAnsiTheme="majorHAnsi" w:cs="Times New Roman"/>
          <w:color w:val="000000"/>
          <w:lang w:eastAsia="es-ES"/>
        </w:rPr>
        <w:t xml:space="preserve">Dra. </w:t>
      </w:r>
      <w:r w:rsidR="00A3752F" w:rsidRPr="003A208C">
        <w:rPr>
          <w:rFonts w:asciiTheme="majorHAnsi" w:eastAsiaTheme="minorEastAsia" w:hAnsiTheme="majorHAnsi" w:cs="Times New Roman"/>
          <w:color w:val="000000"/>
          <w:lang w:eastAsia="es-ES"/>
        </w:rPr>
        <w:t>Agustina Castro Ansón, Coo</w:t>
      </w:r>
      <w:r w:rsidR="008E0289" w:rsidRPr="003A208C">
        <w:rPr>
          <w:rFonts w:asciiTheme="majorHAnsi" w:eastAsiaTheme="minorEastAsia" w:hAnsiTheme="majorHAnsi" w:cs="Times New Roman"/>
          <w:color w:val="000000"/>
          <w:lang w:eastAsia="es-ES"/>
        </w:rPr>
        <w:t>rdinadora General, el Sr. Sergio Iantorno, Responsable del área de Adquisiciones y Constanza Maiorano, Asesora y responsable del monitoreo del proyecto.</w:t>
      </w:r>
    </w:p>
    <w:p w14:paraId="6A21C803" w14:textId="77777777" w:rsidR="00D41C25" w:rsidRPr="003A208C" w:rsidRDefault="00D41C25" w:rsidP="00D41C25">
      <w:pPr>
        <w:spacing w:after="0"/>
        <w:rPr>
          <w:rFonts w:asciiTheme="majorHAnsi" w:eastAsia="Times New Roman" w:hAnsiTheme="majorHAnsi" w:cs="Times New Roman"/>
          <w:lang w:eastAsia="es-ES"/>
        </w:rPr>
      </w:pPr>
    </w:p>
    <w:p w14:paraId="2F88885A" w14:textId="77777777" w:rsidR="002002A8" w:rsidRPr="003A208C" w:rsidRDefault="002002A8" w:rsidP="00555A71">
      <w:pPr>
        <w:spacing w:after="0"/>
        <w:jc w:val="left"/>
        <w:rPr>
          <w:rFonts w:asciiTheme="majorHAnsi" w:eastAsia="Times New Roman" w:hAnsiTheme="majorHAnsi" w:cs="Times New Roman"/>
          <w:lang w:eastAsia="es-ES"/>
        </w:rPr>
        <w:sectPr w:rsidR="002002A8" w:rsidRPr="003A208C" w:rsidSect="007D2C72">
          <w:pgSz w:w="11900" w:h="16840"/>
          <w:pgMar w:top="1417" w:right="1701" w:bottom="1417" w:left="1701" w:header="708" w:footer="708" w:gutter="0"/>
          <w:cols w:space="708"/>
          <w:docGrid w:linePitch="360"/>
        </w:sectPr>
      </w:pPr>
    </w:p>
    <w:p w14:paraId="4783E91F" w14:textId="2A9325E7" w:rsidR="00D41C25" w:rsidRPr="003A208C" w:rsidRDefault="00D41C25" w:rsidP="00D41C25">
      <w:pPr>
        <w:spacing w:after="0"/>
        <w:rPr>
          <w:rFonts w:asciiTheme="majorHAnsi" w:eastAsia="Times New Roman" w:hAnsiTheme="majorHAnsi" w:cs="Times New Roman"/>
          <w:lang w:eastAsia="es-ES"/>
        </w:rPr>
      </w:pPr>
    </w:p>
    <w:p w14:paraId="67D6C4F9" w14:textId="7144A15F" w:rsidR="00D41C25" w:rsidRPr="003A208C" w:rsidRDefault="00B0123E" w:rsidP="0042110B">
      <w:pPr>
        <w:ind w:left="2124" w:firstLine="3"/>
        <w:jc w:val="left"/>
        <w:rPr>
          <w:rFonts w:asciiTheme="majorHAnsi" w:hAnsiTheme="majorHAnsi"/>
          <w:b/>
        </w:rPr>
      </w:pPr>
      <w:r w:rsidRPr="003A208C">
        <w:rPr>
          <w:rFonts w:asciiTheme="majorHAnsi" w:hAnsiTheme="majorHAnsi"/>
          <w:b/>
        </w:rPr>
        <w:t>1. Matriz resumen de apreciaciones y recomendaciones</w:t>
      </w:r>
    </w:p>
    <w:p w14:paraId="2D0304AA" w14:textId="77777777" w:rsidR="00D41C25" w:rsidRPr="003A208C" w:rsidRDefault="00D41C25" w:rsidP="00D41C25">
      <w:pPr>
        <w:spacing w:after="0"/>
        <w:rPr>
          <w:rFonts w:asciiTheme="majorHAnsi" w:eastAsia="Times New Roman" w:hAnsiTheme="majorHAnsi" w:cs="Times New Roman"/>
          <w:lang w:eastAsia="es-ES"/>
        </w:rPr>
      </w:pPr>
    </w:p>
    <w:p w14:paraId="2C4AEB21" w14:textId="380AB7AE" w:rsidR="00E105A2" w:rsidRPr="003A208C" w:rsidRDefault="00E105A2" w:rsidP="00D41C25">
      <w:pPr>
        <w:spacing w:after="0"/>
        <w:rPr>
          <w:rFonts w:asciiTheme="majorHAnsi" w:eastAsia="Times New Roman" w:hAnsiTheme="majorHAnsi" w:cs="Times New Roman"/>
          <w:lang w:eastAsia="es-ES"/>
        </w:rPr>
      </w:pPr>
    </w:p>
    <w:tbl>
      <w:tblPr>
        <w:tblStyle w:val="Tablaconcuadrcula"/>
        <w:tblpPr w:leftFromText="141" w:rightFromText="141" w:vertAnchor="text" w:tblpY="1"/>
        <w:tblOverlap w:val="never"/>
        <w:tblW w:w="14851" w:type="dxa"/>
        <w:tblLayout w:type="fixed"/>
        <w:tblLook w:val="04A0" w:firstRow="1" w:lastRow="0" w:firstColumn="1" w:lastColumn="0" w:noHBand="0" w:noVBand="1"/>
      </w:tblPr>
      <w:tblGrid>
        <w:gridCol w:w="1676"/>
        <w:gridCol w:w="2024"/>
        <w:gridCol w:w="4205"/>
        <w:gridCol w:w="6946"/>
      </w:tblGrid>
      <w:tr w:rsidR="0002506B" w:rsidRPr="003A208C" w14:paraId="6261040E" w14:textId="77777777" w:rsidTr="006654FE">
        <w:tc>
          <w:tcPr>
            <w:tcW w:w="1676" w:type="dxa"/>
          </w:tcPr>
          <w:p w14:paraId="42144AE5" w14:textId="52A128B2" w:rsidR="0002506B" w:rsidRPr="003A208C" w:rsidRDefault="004B44DF" w:rsidP="00396021">
            <w:pPr>
              <w:spacing w:after="0"/>
              <w:rPr>
                <w:rFonts w:asciiTheme="majorHAnsi" w:eastAsia="Times New Roman" w:hAnsiTheme="majorHAnsi" w:cs="Times New Roman"/>
                <w:b/>
                <w:lang w:eastAsia="es-ES"/>
              </w:rPr>
            </w:pPr>
            <w:r w:rsidRPr="003A208C">
              <w:rPr>
                <w:rFonts w:asciiTheme="majorHAnsi" w:eastAsia="Times New Roman" w:hAnsiTheme="majorHAnsi" w:cs="Times New Roman"/>
                <w:b/>
                <w:lang w:eastAsia="es-ES"/>
              </w:rPr>
              <w:t>Dimensiones</w:t>
            </w:r>
          </w:p>
        </w:tc>
        <w:tc>
          <w:tcPr>
            <w:tcW w:w="2024" w:type="dxa"/>
          </w:tcPr>
          <w:p w14:paraId="1F8A0FBB" w14:textId="09565DB4" w:rsidR="0002506B" w:rsidRPr="003A208C" w:rsidRDefault="004B44DF" w:rsidP="00396021">
            <w:pPr>
              <w:spacing w:after="0"/>
              <w:rPr>
                <w:rFonts w:asciiTheme="majorHAnsi" w:eastAsia="Times New Roman" w:hAnsiTheme="majorHAnsi" w:cs="Times New Roman"/>
                <w:b/>
                <w:lang w:eastAsia="es-ES"/>
              </w:rPr>
            </w:pPr>
            <w:r w:rsidRPr="003A208C">
              <w:rPr>
                <w:rFonts w:asciiTheme="majorHAnsi" w:eastAsia="Times New Roman" w:hAnsiTheme="majorHAnsi" w:cs="Times New Roman"/>
                <w:b/>
                <w:lang w:eastAsia="es-ES"/>
              </w:rPr>
              <w:t>Variables a evaluar</w:t>
            </w:r>
          </w:p>
        </w:tc>
        <w:tc>
          <w:tcPr>
            <w:tcW w:w="4205" w:type="dxa"/>
          </w:tcPr>
          <w:p w14:paraId="0E8A38ED" w14:textId="51557424" w:rsidR="0002506B" w:rsidRPr="003A208C" w:rsidRDefault="004B44DF" w:rsidP="00396021">
            <w:pPr>
              <w:spacing w:after="0"/>
              <w:rPr>
                <w:rFonts w:asciiTheme="majorHAnsi" w:eastAsia="Times New Roman" w:hAnsiTheme="majorHAnsi" w:cs="Times New Roman"/>
                <w:b/>
                <w:lang w:eastAsia="es-ES"/>
              </w:rPr>
            </w:pPr>
            <w:r w:rsidRPr="003A208C">
              <w:rPr>
                <w:rFonts w:asciiTheme="majorHAnsi" w:eastAsia="Times New Roman" w:hAnsiTheme="majorHAnsi" w:cs="Times New Roman"/>
                <w:b/>
                <w:lang w:eastAsia="es-ES"/>
              </w:rPr>
              <w:t>Comentarios</w:t>
            </w:r>
          </w:p>
        </w:tc>
        <w:tc>
          <w:tcPr>
            <w:tcW w:w="6946" w:type="dxa"/>
          </w:tcPr>
          <w:p w14:paraId="67B69438" w14:textId="730CC445" w:rsidR="004B44DF" w:rsidRPr="003A208C" w:rsidRDefault="004B44DF" w:rsidP="00396021">
            <w:pPr>
              <w:spacing w:after="0"/>
              <w:rPr>
                <w:rFonts w:asciiTheme="majorHAnsi" w:eastAsia="Times New Roman" w:hAnsiTheme="majorHAnsi" w:cs="Times New Roman"/>
                <w:b/>
                <w:lang w:eastAsia="es-ES"/>
              </w:rPr>
            </w:pPr>
            <w:r w:rsidRPr="003A208C">
              <w:rPr>
                <w:rFonts w:asciiTheme="majorHAnsi" w:eastAsia="Times New Roman" w:hAnsiTheme="majorHAnsi" w:cs="Times New Roman"/>
                <w:b/>
                <w:lang w:eastAsia="es-ES"/>
              </w:rPr>
              <w:t>Recomendaciones</w:t>
            </w:r>
          </w:p>
        </w:tc>
      </w:tr>
      <w:tr w:rsidR="004B44DF" w:rsidRPr="003A208C" w14:paraId="2BB4072E" w14:textId="77777777" w:rsidTr="006654FE">
        <w:trPr>
          <w:trHeight w:val="1859"/>
        </w:trPr>
        <w:tc>
          <w:tcPr>
            <w:tcW w:w="1676" w:type="dxa"/>
            <w:vMerge w:val="restart"/>
            <w:vAlign w:val="center"/>
          </w:tcPr>
          <w:p w14:paraId="3EE57383" w14:textId="5C128FB1" w:rsidR="004B44DF" w:rsidRPr="003A208C" w:rsidRDefault="004B44DF" w:rsidP="00396021">
            <w:pPr>
              <w:spacing w:after="0"/>
              <w:rPr>
                <w:rFonts w:asciiTheme="majorHAnsi" w:eastAsia="Times New Roman" w:hAnsiTheme="majorHAnsi" w:cs="Times New Roman"/>
                <w:lang w:eastAsia="es-ES"/>
              </w:rPr>
            </w:pPr>
            <w:r w:rsidRPr="003A208C">
              <w:rPr>
                <w:rFonts w:asciiTheme="majorHAnsi" w:hAnsiTheme="majorHAnsi"/>
                <w:color w:val="000000"/>
              </w:rPr>
              <w:t>Adecuación de la propuesta a las necesidades del país y a la planificación estratégica del PNUD</w:t>
            </w:r>
          </w:p>
        </w:tc>
        <w:tc>
          <w:tcPr>
            <w:tcW w:w="2024" w:type="dxa"/>
          </w:tcPr>
          <w:p w14:paraId="038D4E0C" w14:textId="5ECAF2BA" w:rsidR="004B44DF" w:rsidRPr="003A208C" w:rsidRDefault="004B44DF" w:rsidP="00396021">
            <w:pPr>
              <w:spacing w:after="0"/>
              <w:rPr>
                <w:rFonts w:asciiTheme="majorHAnsi" w:hAnsiTheme="majorHAnsi"/>
                <w:color w:val="000000"/>
              </w:rPr>
            </w:pPr>
            <w:r w:rsidRPr="003A208C">
              <w:rPr>
                <w:rFonts w:asciiTheme="majorHAnsi" w:hAnsiTheme="majorHAnsi"/>
                <w:color w:val="000000"/>
              </w:rPr>
              <w:t>Adecuación del objetivo general del proyecto a las prioridades y objetivos del Programa País</w:t>
            </w:r>
          </w:p>
        </w:tc>
        <w:tc>
          <w:tcPr>
            <w:tcW w:w="4205" w:type="dxa"/>
            <w:vMerge w:val="restart"/>
          </w:tcPr>
          <w:p w14:paraId="45E2FADB" w14:textId="77777777" w:rsidR="004B44DF" w:rsidRPr="003A208C" w:rsidRDefault="004B44DF" w:rsidP="00396021">
            <w:pPr>
              <w:spacing w:after="0"/>
              <w:rPr>
                <w:rFonts w:asciiTheme="majorHAnsi" w:eastAsiaTheme="minorEastAsia" w:hAnsiTheme="majorHAnsi" w:cstheme="minorBidi"/>
                <w:color w:val="000000"/>
                <w:lang w:eastAsia="es-ES"/>
              </w:rPr>
            </w:pPr>
            <w:r w:rsidRPr="003A208C">
              <w:rPr>
                <w:rFonts w:asciiTheme="majorHAnsi" w:eastAsiaTheme="minorEastAsia" w:hAnsiTheme="majorHAnsi" w:cstheme="minorBidi"/>
                <w:color w:val="000000"/>
                <w:lang w:eastAsia="es-ES"/>
              </w:rPr>
              <w:t xml:space="preserve">La propuesta se ajusta a la fundamentación diagnóstica del análisis de país 2020 (CCA), principalmente en lo referido al desafío de la institucionalidad argentina de “mejorar la capacidad del Estado para diseñar y evaluar políticas basadas en la evidencia y para proveer –directa o indirectamente– bienes esenciales: salud, educación, justicia, transporte, telecomunicación, información accesible, entre otros…”. </w:t>
            </w:r>
          </w:p>
          <w:p w14:paraId="2FBE6CD7" w14:textId="77777777" w:rsidR="004B44DF" w:rsidRPr="003A208C" w:rsidRDefault="004B44DF" w:rsidP="00396021">
            <w:pPr>
              <w:spacing w:after="0"/>
              <w:rPr>
                <w:rFonts w:asciiTheme="majorHAnsi" w:eastAsiaTheme="minorEastAsia" w:hAnsiTheme="majorHAnsi" w:cstheme="minorBidi"/>
                <w:color w:val="000000"/>
                <w:lang w:eastAsia="es-ES"/>
              </w:rPr>
            </w:pPr>
            <w:r w:rsidRPr="003A208C">
              <w:rPr>
                <w:rFonts w:asciiTheme="majorHAnsi" w:eastAsiaTheme="minorEastAsia" w:hAnsiTheme="majorHAnsi" w:cstheme="minorBidi"/>
                <w:color w:val="000000"/>
                <w:lang w:eastAsia="es-ES"/>
              </w:rPr>
              <w:t>El Proyecto se enmarca adecuadamente dentro de la solución emblemática 2 del Plan Estratégico 2018-2021, la Dimensión Gobernanza, Efecto Directo 10 del MECNUD 2021-2025, y el Producto 3.5 del Programa de País 2016-2020, en tanto la estrategia planteada pone el foco en la mejora de las capacidades del estado por medio de la incorporación de las TICs y la promoción de la inclusión de la población en situación de vulnerabilidad para acortar las brechas digitales, con una perspectiva territorial.</w:t>
            </w:r>
          </w:p>
          <w:p w14:paraId="5EF7D396" w14:textId="3762404F" w:rsidR="004B44DF" w:rsidRPr="003A208C" w:rsidRDefault="004B44DF" w:rsidP="00396021">
            <w:pPr>
              <w:spacing w:after="0"/>
              <w:rPr>
                <w:rFonts w:asciiTheme="majorHAnsi" w:eastAsia="Times New Roman" w:hAnsiTheme="majorHAnsi" w:cs="Times New Roman"/>
                <w:lang w:eastAsia="es-ES"/>
              </w:rPr>
            </w:pPr>
            <w:r w:rsidRPr="003A208C">
              <w:rPr>
                <w:rFonts w:asciiTheme="majorHAnsi" w:eastAsiaTheme="minorEastAsia" w:hAnsiTheme="majorHAnsi" w:cstheme="minorBidi"/>
                <w:color w:val="000000"/>
                <w:lang w:eastAsia="es-ES"/>
              </w:rPr>
              <w:t>La propuesta es consistente con las prioridades y objetivos estratégicos y programáticos mencionados.</w:t>
            </w:r>
          </w:p>
        </w:tc>
        <w:tc>
          <w:tcPr>
            <w:tcW w:w="6946" w:type="dxa"/>
            <w:vMerge w:val="restart"/>
          </w:tcPr>
          <w:p w14:paraId="647D084B" w14:textId="5FFB9779" w:rsidR="004B44DF" w:rsidRPr="003A208C" w:rsidRDefault="004B44DF" w:rsidP="00396021">
            <w:pPr>
              <w:spacing w:after="0"/>
              <w:rPr>
                <w:rFonts w:asciiTheme="majorHAnsi" w:eastAsia="Times New Roman" w:hAnsiTheme="majorHAnsi" w:cs="Times New Roman"/>
                <w:lang w:eastAsia="es-ES"/>
              </w:rPr>
            </w:pPr>
            <w:r w:rsidRPr="003A208C">
              <w:rPr>
                <w:rFonts w:asciiTheme="majorHAnsi" w:hAnsiTheme="majorHAnsi"/>
                <w:color w:val="000000"/>
              </w:rPr>
              <w:t>No hay recomendaciones</w:t>
            </w:r>
          </w:p>
        </w:tc>
      </w:tr>
      <w:tr w:rsidR="004B44DF" w:rsidRPr="003A208C" w14:paraId="046B7E59" w14:textId="77777777" w:rsidTr="006654FE">
        <w:trPr>
          <w:trHeight w:val="2396"/>
        </w:trPr>
        <w:tc>
          <w:tcPr>
            <w:tcW w:w="1676" w:type="dxa"/>
            <w:vMerge/>
          </w:tcPr>
          <w:p w14:paraId="348432B3" w14:textId="77777777" w:rsidR="004B44DF" w:rsidRPr="003A208C" w:rsidRDefault="004B44DF" w:rsidP="00396021">
            <w:pPr>
              <w:spacing w:after="0"/>
              <w:rPr>
                <w:rFonts w:asciiTheme="majorHAnsi" w:eastAsia="Times New Roman" w:hAnsiTheme="majorHAnsi" w:cs="Times New Roman"/>
                <w:lang w:eastAsia="es-ES"/>
              </w:rPr>
            </w:pPr>
          </w:p>
        </w:tc>
        <w:tc>
          <w:tcPr>
            <w:tcW w:w="2024" w:type="dxa"/>
          </w:tcPr>
          <w:p w14:paraId="4E99BF57" w14:textId="29588726" w:rsidR="004B44DF" w:rsidRPr="003A208C" w:rsidRDefault="004B44DF" w:rsidP="00396021">
            <w:pPr>
              <w:spacing w:after="0"/>
              <w:rPr>
                <w:rFonts w:asciiTheme="majorHAnsi" w:eastAsia="Times New Roman" w:hAnsiTheme="majorHAnsi" w:cs="Times New Roman"/>
                <w:lang w:eastAsia="es-ES"/>
              </w:rPr>
            </w:pPr>
            <w:r w:rsidRPr="003A208C">
              <w:rPr>
                <w:rFonts w:asciiTheme="majorHAnsi" w:hAnsiTheme="majorHAnsi"/>
                <w:color w:val="000000"/>
              </w:rPr>
              <w:t>Grado de contribución a la planificación estratégica del PNUD</w:t>
            </w:r>
          </w:p>
        </w:tc>
        <w:tc>
          <w:tcPr>
            <w:tcW w:w="4205" w:type="dxa"/>
            <w:vMerge/>
          </w:tcPr>
          <w:p w14:paraId="7B4E3CED" w14:textId="77777777" w:rsidR="004B44DF" w:rsidRPr="003A208C" w:rsidRDefault="004B44DF" w:rsidP="00396021">
            <w:pPr>
              <w:spacing w:after="0"/>
              <w:rPr>
                <w:rFonts w:asciiTheme="majorHAnsi" w:eastAsia="Times New Roman" w:hAnsiTheme="majorHAnsi" w:cs="Times New Roman"/>
                <w:lang w:eastAsia="es-ES"/>
              </w:rPr>
            </w:pPr>
          </w:p>
        </w:tc>
        <w:tc>
          <w:tcPr>
            <w:tcW w:w="6946" w:type="dxa"/>
            <w:vMerge/>
          </w:tcPr>
          <w:p w14:paraId="03844584" w14:textId="77777777" w:rsidR="004B44DF" w:rsidRPr="003A208C" w:rsidRDefault="004B44DF" w:rsidP="00396021">
            <w:pPr>
              <w:spacing w:after="0"/>
              <w:rPr>
                <w:rFonts w:asciiTheme="majorHAnsi" w:eastAsia="Times New Roman" w:hAnsiTheme="majorHAnsi" w:cs="Times New Roman"/>
                <w:lang w:eastAsia="es-ES"/>
              </w:rPr>
            </w:pPr>
          </w:p>
        </w:tc>
      </w:tr>
      <w:tr w:rsidR="004B44DF" w:rsidRPr="003A208C" w14:paraId="25B89C82" w14:textId="77777777" w:rsidTr="006654FE">
        <w:tc>
          <w:tcPr>
            <w:tcW w:w="1676" w:type="dxa"/>
            <w:vMerge/>
          </w:tcPr>
          <w:p w14:paraId="2ADAC1F3" w14:textId="77777777" w:rsidR="004B44DF" w:rsidRPr="003A208C" w:rsidRDefault="004B44DF" w:rsidP="00396021">
            <w:pPr>
              <w:spacing w:after="0"/>
              <w:rPr>
                <w:rFonts w:asciiTheme="majorHAnsi" w:eastAsia="Times New Roman" w:hAnsiTheme="majorHAnsi" w:cs="Times New Roman"/>
                <w:lang w:eastAsia="es-ES"/>
              </w:rPr>
            </w:pPr>
          </w:p>
        </w:tc>
        <w:tc>
          <w:tcPr>
            <w:tcW w:w="2024" w:type="dxa"/>
          </w:tcPr>
          <w:p w14:paraId="254F41CC" w14:textId="03FC17E1" w:rsidR="004B44DF" w:rsidRPr="003A208C" w:rsidRDefault="004B44DF" w:rsidP="00396021">
            <w:pPr>
              <w:spacing w:after="0"/>
              <w:rPr>
                <w:rFonts w:asciiTheme="majorHAnsi" w:eastAsia="Times New Roman" w:hAnsiTheme="majorHAnsi" w:cs="Times New Roman"/>
                <w:lang w:eastAsia="es-ES"/>
              </w:rPr>
            </w:pPr>
            <w:r w:rsidRPr="003A208C">
              <w:rPr>
                <w:rFonts w:asciiTheme="majorHAnsi" w:hAnsiTheme="majorHAnsi"/>
                <w:color w:val="000000"/>
              </w:rPr>
              <w:t>Adecuación a los parámetros de diseño del Plan Estratégico del PNUD</w:t>
            </w:r>
          </w:p>
        </w:tc>
        <w:tc>
          <w:tcPr>
            <w:tcW w:w="4205" w:type="dxa"/>
            <w:vMerge/>
          </w:tcPr>
          <w:p w14:paraId="6C9C03A0" w14:textId="77777777" w:rsidR="004B44DF" w:rsidRPr="003A208C" w:rsidRDefault="004B44DF" w:rsidP="00396021">
            <w:pPr>
              <w:spacing w:after="0"/>
              <w:rPr>
                <w:rFonts w:asciiTheme="majorHAnsi" w:eastAsia="Times New Roman" w:hAnsiTheme="majorHAnsi" w:cs="Times New Roman"/>
                <w:lang w:eastAsia="es-ES"/>
              </w:rPr>
            </w:pPr>
          </w:p>
        </w:tc>
        <w:tc>
          <w:tcPr>
            <w:tcW w:w="6946" w:type="dxa"/>
            <w:vMerge/>
          </w:tcPr>
          <w:p w14:paraId="38440D22" w14:textId="77777777" w:rsidR="004B44DF" w:rsidRPr="003A208C" w:rsidRDefault="004B44DF" w:rsidP="00396021">
            <w:pPr>
              <w:spacing w:after="0"/>
              <w:rPr>
                <w:rFonts w:asciiTheme="majorHAnsi" w:eastAsia="Times New Roman" w:hAnsiTheme="majorHAnsi" w:cs="Times New Roman"/>
                <w:lang w:eastAsia="es-ES"/>
              </w:rPr>
            </w:pPr>
          </w:p>
        </w:tc>
      </w:tr>
      <w:tr w:rsidR="005C4618" w:rsidRPr="003A208C" w14:paraId="450D33B5" w14:textId="77777777" w:rsidTr="006654FE">
        <w:tc>
          <w:tcPr>
            <w:tcW w:w="1676" w:type="dxa"/>
            <w:vMerge w:val="restart"/>
            <w:vAlign w:val="center"/>
          </w:tcPr>
          <w:p w14:paraId="3658E1D2" w14:textId="3D64EE69" w:rsidR="005C4618" w:rsidRPr="003A208C" w:rsidRDefault="005C4618" w:rsidP="00396021">
            <w:pPr>
              <w:spacing w:after="0"/>
              <w:jc w:val="center"/>
              <w:rPr>
                <w:rFonts w:asciiTheme="majorHAnsi" w:eastAsia="Times New Roman" w:hAnsiTheme="majorHAnsi" w:cs="Times New Roman"/>
                <w:lang w:eastAsia="es-ES"/>
              </w:rPr>
            </w:pPr>
            <w:r w:rsidRPr="003A208C">
              <w:rPr>
                <w:rFonts w:asciiTheme="majorHAnsi" w:hAnsiTheme="majorHAnsi" w:cs="Lucida Grande"/>
                <w:color w:val="000000"/>
              </w:rPr>
              <w:t>Contexto político-institucional</w:t>
            </w:r>
          </w:p>
        </w:tc>
        <w:tc>
          <w:tcPr>
            <w:tcW w:w="2024" w:type="dxa"/>
          </w:tcPr>
          <w:p w14:paraId="5F0F27BE" w14:textId="77777777" w:rsidR="005C4618" w:rsidRPr="003A208C" w:rsidRDefault="005C4618" w:rsidP="00396021">
            <w:pPr>
              <w:spacing w:after="0"/>
              <w:jc w:val="left"/>
              <w:rPr>
                <w:rFonts w:asciiTheme="majorHAnsi" w:eastAsiaTheme="minorEastAsia" w:hAnsiTheme="majorHAnsi" w:cstheme="minorBidi"/>
                <w:color w:val="000000"/>
                <w:lang w:eastAsia="es-ES"/>
              </w:rPr>
            </w:pPr>
            <w:r w:rsidRPr="003A208C">
              <w:rPr>
                <w:rFonts w:asciiTheme="majorHAnsi" w:eastAsiaTheme="minorEastAsia" w:hAnsiTheme="majorHAnsi" w:cstheme="minorBidi"/>
                <w:color w:val="000000"/>
                <w:lang w:eastAsia="es-ES"/>
              </w:rPr>
              <w:t>• Contexto político.</w:t>
            </w:r>
          </w:p>
          <w:p w14:paraId="63748BB9" w14:textId="77777777" w:rsidR="005C4618" w:rsidRPr="003A208C" w:rsidRDefault="005C4618" w:rsidP="00396021">
            <w:pPr>
              <w:spacing w:after="0"/>
              <w:jc w:val="left"/>
              <w:rPr>
                <w:rFonts w:asciiTheme="majorHAnsi" w:eastAsiaTheme="minorEastAsia" w:hAnsiTheme="majorHAnsi" w:cstheme="minorBidi"/>
                <w:color w:val="000000"/>
                <w:lang w:eastAsia="es-ES"/>
              </w:rPr>
            </w:pPr>
            <w:r w:rsidRPr="003A208C">
              <w:rPr>
                <w:rFonts w:asciiTheme="majorHAnsi" w:eastAsiaTheme="minorEastAsia" w:hAnsiTheme="majorHAnsi" w:cstheme="minorBidi"/>
                <w:color w:val="000000"/>
                <w:lang w:eastAsia="es-ES"/>
              </w:rPr>
              <w:t>• Marco político y normativo del sector público.</w:t>
            </w:r>
          </w:p>
          <w:p w14:paraId="09212109" w14:textId="77777777" w:rsidR="005C4618" w:rsidRPr="003A208C" w:rsidRDefault="005C4618" w:rsidP="00396021">
            <w:pPr>
              <w:spacing w:after="0"/>
              <w:jc w:val="left"/>
              <w:rPr>
                <w:rFonts w:asciiTheme="majorHAnsi" w:eastAsiaTheme="minorEastAsia" w:hAnsiTheme="majorHAnsi" w:cstheme="minorBidi"/>
                <w:color w:val="000000"/>
                <w:lang w:eastAsia="es-ES"/>
              </w:rPr>
            </w:pPr>
            <w:r w:rsidRPr="003A208C">
              <w:rPr>
                <w:rFonts w:asciiTheme="majorHAnsi" w:eastAsiaTheme="minorEastAsia" w:hAnsiTheme="majorHAnsi" w:cstheme="minorBidi"/>
                <w:color w:val="000000"/>
                <w:lang w:eastAsia="es-ES"/>
              </w:rPr>
              <w:t>• Grado de prioridad asignado a los objetivos del proyecto en la política pública.</w:t>
            </w:r>
          </w:p>
          <w:p w14:paraId="0ADC10C8" w14:textId="56FD0E2A" w:rsidR="005C4618" w:rsidRPr="003A208C" w:rsidRDefault="005C4618" w:rsidP="00396021">
            <w:pPr>
              <w:spacing w:after="0"/>
              <w:rPr>
                <w:rFonts w:asciiTheme="majorHAnsi" w:eastAsia="Times New Roman" w:hAnsiTheme="majorHAnsi" w:cs="Times New Roman"/>
                <w:lang w:eastAsia="es-ES"/>
              </w:rPr>
            </w:pPr>
            <w:r w:rsidRPr="003A208C">
              <w:rPr>
                <w:rFonts w:asciiTheme="majorHAnsi" w:eastAsiaTheme="minorEastAsia" w:hAnsiTheme="majorHAnsi" w:cstheme="minorBidi"/>
                <w:color w:val="000000"/>
                <w:lang w:eastAsia="es-ES"/>
              </w:rPr>
              <w:t>• Legitimación y apoyo.</w:t>
            </w:r>
          </w:p>
        </w:tc>
        <w:tc>
          <w:tcPr>
            <w:tcW w:w="4205" w:type="dxa"/>
          </w:tcPr>
          <w:p w14:paraId="32607931" w14:textId="77777777" w:rsidR="005C4618" w:rsidRPr="003A208C" w:rsidRDefault="005C4618" w:rsidP="00396021">
            <w:pPr>
              <w:spacing w:after="0"/>
              <w:jc w:val="left"/>
              <w:rPr>
                <w:rFonts w:asciiTheme="majorHAnsi" w:eastAsiaTheme="minorEastAsia" w:hAnsiTheme="majorHAnsi" w:cstheme="minorBidi"/>
                <w:color w:val="000000"/>
                <w:lang w:eastAsia="es-ES"/>
              </w:rPr>
            </w:pPr>
            <w:r w:rsidRPr="003A208C">
              <w:rPr>
                <w:rFonts w:asciiTheme="majorHAnsi" w:eastAsiaTheme="minorEastAsia" w:hAnsiTheme="majorHAnsi" w:cstheme="minorBidi"/>
                <w:color w:val="000000"/>
                <w:lang w:eastAsia="es-ES"/>
              </w:rPr>
              <w:t xml:space="preserve">El contexto político en el que se inserta el proyecto es favorable para el desarrollo de las actividades previstas, con apoyo político y técnico para su ejecución; enmarcado en la estrategia general de Jefatura de Gabinete de Ministros  orientada a incrementar la digitalización de trámites y optimizar la prestación que los organismos púbicos brindan a la ciudadanía y planificar las estrategias que le permitan adaptarse a un futuro inminente con mayores demandas ciudadanas. </w:t>
            </w:r>
          </w:p>
          <w:p w14:paraId="3A160DEA" w14:textId="77777777" w:rsidR="005C4618" w:rsidRPr="003A208C" w:rsidRDefault="005C4618" w:rsidP="00396021">
            <w:pPr>
              <w:spacing w:after="0"/>
              <w:jc w:val="left"/>
              <w:rPr>
                <w:rFonts w:asciiTheme="majorHAnsi" w:eastAsiaTheme="minorEastAsia" w:hAnsiTheme="majorHAnsi" w:cstheme="minorBidi"/>
                <w:color w:val="000000"/>
                <w:lang w:eastAsia="es-ES"/>
              </w:rPr>
            </w:pPr>
            <w:r w:rsidRPr="003A208C">
              <w:rPr>
                <w:rFonts w:asciiTheme="majorHAnsi" w:eastAsiaTheme="minorEastAsia" w:hAnsiTheme="majorHAnsi" w:cstheme="minorBidi"/>
                <w:color w:val="000000"/>
                <w:lang w:eastAsia="es-ES"/>
              </w:rPr>
              <w:t>Se encuentra respaldado por el marco normativo vigente; entre otros, por el Decreto 690/2020 por el cual se establece que los Servicios de las Tecnologías de la Información y las Comunicaciones (TIC) y el acceso a las redes de telecomunicaciones para y entre licenciatarios y licenciatarias de servicios TIC son servicios públicos esenciales y estratégicos en competencia. La autoridad de aplicación garantizará su efectiva disponibilidad, al considerar que el derecho de acceso a internet es, en la actualidad, uno de los derechos digitales que posee toda persona con el propósito de ejercer y gozar del derecho a la libertad de expresión (...) y un pilar fundamental para la construcción del desarrollo económico y social. A su vez, la situación de emergencia sanitaria generada por la pandemia de Covid-19 y los consecuentes ASPO y DISPO enfatizan la relevancia del acceso a TICs y conectividad a las redes de telecomunicaciones para la inclusión social y la defensa y protección de los derechos humanos, especialmente para las poblaciones en mayor situación de vulnerabilidad.</w:t>
            </w:r>
          </w:p>
          <w:p w14:paraId="377C73D1" w14:textId="7B209DED" w:rsidR="005C4618" w:rsidRPr="003A208C" w:rsidRDefault="005C4618" w:rsidP="00396021">
            <w:pPr>
              <w:spacing w:after="0"/>
              <w:rPr>
                <w:rFonts w:asciiTheme="majorHAnsi" w:eastAsia="Times New Roman" w:hAnsiTheme="majorHAnsi" w:cs="Times New Roman"/>
                <w:lang w:eastAsia="es-ES"/>
              </w:rPr>
            </w:pPr>
            <w:r w:rsidRPr="003A208C">
              <w:rPr>
                <w:rFonts w:asciiTheme="majorHAnsi" w:eastAsiaTheme="minorEastAsia" w:hAnsiTheme="majorHAnsi" w:cstheme="minorBidi"/>
                <w:color w:val="000000"/>
                <w:lang w:eastAsia="es-ES"/>
              </w:rPr>
              <w:t>El proyecto cuenta con el aval de la máxima autoridad de la Secretaría de Innovación Pública (SIP) de la Jefatura de Gabinete de Ministros (JGM), que entre sus competencias tiene el diseño, propuesta y coordinación de las políticas de innovación administrativa y tecnológica del Estado Nacional y de las políticas que promuevan la innovación y el gobierno digital, innovando y modernizando las capacidades del Estado para la inclusión de la población.</w:t>
            </w:r>
          </w:p>
        </w:tc>
        <w:tc>
          <w:tcPr>
            <w:tcW w:w="6946" w:type="dxa"/>
          </w:tcPr>
          <w:p w14:paraId="3C73E461" w14:textId="7522AB91" w:rsidR="005C4618" w:rsidRPr="003A208C" w:rsidRDefault="005C4618" w:rsidP="00396021">
            <w:pPr>
              <w:spacing w:after="0"/>
              <w:rPr>
                <w:rFonts w:asciiTheme="majorHAnsi" w:eastAsia="Times New Roman" w:hAnsiTheme="majorHAnsi" w:cs="Times New Roman"/>
                <w:lang w:eastAsia="es-ES"/>
              </w:rPr>
            </w:pPr>
            <w:r w:rsidRPr="003A208C">
              <w:rPr>
                <w:rFonts w:asciiTheme="majorHAnsi" w:hAnsiTheme="majorHAnsi"/>
                <w:color w:val="000000"/>
              </w:rPr>
              <w:t xml:space="preserve">En el marco de las Actividades 2 y 3 y 4 se prevé la contratación de consultores nacionales para llevar adelante algunas de las acciones previstas. En vistas de la vigencia del Decreto 672/2020 que indica que "Las Jurisdicciones y Entidades del Sector Público Nacional (...) no podrán efectuar designaciones ni contrataciones de personal de cualquier naturaleza que afecten fuentes de financiamiento presupuestarias </w:t>
            </w:r>
            <w:r w:rsidRPr="003A208C">
              <w:rPr>
                <w:rFonts w:asciiTheme="majorHAnsi" w:hAnsiTheme="majorHAnsi"/>
                <w:b/>
                <w:color w:val="000000"/>
              </w:rPr>
              <w:t>hasta el 31 de diciembre de 2020 (...)</w:t>
            </w:r>
            <w:r w:rsidRPr="003A208C">
              <w:rPr>
                <w:rFonts w:asciiTheme="majorHAnsi" w:hAnsiTheme="majorHAnsi"/>
                <w:color w:val="000000"/>
              </w:rPr>
              <w:t xml:space="preserve">", se sugiere considerar alternativas para incorporar </w:t>
            </w:r>
            <w:r w:rsidRPr="003A208C">
              <w:rPr>
                <w:rFonts w:asciiTheme="majorHAnsi" w:hAnsiTheme="majorHAnsi"/>
                <w:i/>
                <w:color w:val="000000"/>
              </w:rPr>
              <w:t>los nuevos</w:t>
            </w:r>
            <w:r w:rsidRPr="003A208C">
              <w:rPr>
                <w:rFonts w:asciiTheme="majorHAnsi" w:hAnsiTheme="majorHAnsi"/>
                <w:color w:val="000000"/>
              </w:rPr>
              <w:t xml:space="preserve"> recursos humanos necesarios para lograr las actividades planificadas, en caso de que se extienda la vigencia de dicho Decreto.</w:t>
            </w:r>
          </w:p>
        </w:tc>
      </w:tr>
      <w:tr w:rsidR="005C4618" w:rsidRPr="003A208C" w14:paraId="48A8DFBB" w14:textId="77777777" w:rsidTr="006654FE">
        <w:tc>
          <w:tcPr>
            <w:tcW w:w="1676" w:type="dxa"/>
            <w:vMerge/>
          </w:tcPr>
          <w:p w14:paraId="268571C2" w14:textId="77777777" w:rsidR="005C4618" w:rsidRPr="003A208C" w:rsidRDefault="005C4618" w:rsidP="00396021">
            <w:pPr>
              <w:spacing w:after="0"/>
              <w:rPr>
                <w:rFonts w:asciiTheme="majorHAnsi" w:eastAsia="Times New Roman" w:hAnsiTheme="majorHAnsi" w:cs="Times New Roman"/>
                <w:lang w:eastAsia="es-ES"/>
              </w:rPr>
            </w:pPr>
          </w:p>
        </w:tc>
        <w:tc>
          <w:tcPr>
            <w:tcW w:w="2024" w:type="dxa"/>
          </w:tcPr>
          <w:p w14:paraId="6869F27F" w14:textId="6FBE3D73" w:rsidR="005C4618" w:rsidRPr="003A208C" w:rsidRDefault="005C4618" w:rsidP="00396021">
            <w:pPr>
              <w:spacing w:after="0"/>
              <w:rPr>
                <w:rFonts w:asciiTheme="majorHAnsi" w:eastAsia="Times New Roman" w:hAnsiTheme="majorHAnsi" w:cs="Times New Roman"/>
                <w:lang w:eastAsia="es-ES"/>
              </w:rPr>
            </w:pPr>
            <w:r w:rsidRPr="003A208C">
              <w:rPr>
                <w:rFonts w:asciiTheme="majorHAnsi" w:hAnsiTheme="majorHAnsi"/>
                <w:color w:val="000000"/>
              </w:rPr>
              <w:t>Previsibilidad de financiamiento</w:t>
            </w:r>
          </w:p>
        </w:tc>
        <w:tc>
          <w:tcPr>
            <w:tcW w:w="4205" w:type="dxa"/>
          </w:tcPr>
          <w:p w14:paraId="4388D5DE" w14:textId="5E6CA712" w:rsidR="005C4618" w:rsidRPr="003A208C" w:rsidRDefault="005C4618" w:rsidP="00396021">
            <w:pPr>
              <w:spacing w:after="0"/>
              <w:rPr>
                <w:rFonts w:asciiTheme="majorHAnsi" w:eastAsia="Times New Roman" w:hAnsiTheme="majorHAnsi" w:cs="Times New Roman"/>
                <w:lang w:eastAsia="es-ES"/>
              </w:rPr>
            </w:pPr>
            <w:r w:rsidRPr="003A208C">
              <w:rPr>
                <w:rFonts w:asciiTheme="majorHAnsi" w:hAnsiTheme="majorHAnsi"/>
                <w:color w:val="000000"/>
              </w:rPr>
              <w:t>El proyecto se encuentra enteramente financiado por los fondos remanentes del Proyecto ARG/12/012 “Promover y fortalecer las estrategias gubernamentales de la Subsecretaría de Gestión Administrativa de Innovación Pública de la Secretaría de Innovación Pública de la Jefatura de Gabinete de Ministros para mejorar la atención al ciudadano y contribuir a la institucionalización de una gestión pública de calidad”, que ascienden a un total de USD 11.660.000.- de fuente de Gobierno.</w:t>
            </w:r>
          </w:p>
        </w:tc>
        <w:tc>
          <w:tcPr>
            <w:tcW w:w="6946" w:type="dxa"/>
          </w:tcPr>
          <w:p w14:paraId="7381766B" w14:textId="0D4EC58B" w:rsidR="005C4618" w:rsidRPr="003A208C" w:rsidRDefault="005C4618" w:rsidP="00396021">
            <w:pPr>
              <w:spacing w:after="0"/>
              <w:rPr>
                <w:rFonts w:asciiTheme="majorHAnsi" w:eastAsia="Times New Roman" w:hAnsiTheme="majorHAnsi" w:cs="Times New Roman"/>
                <w:lang w:eastAsia="es-ES"/>
              </w:rPr>
            </w:pPr>
            <w:r w:rsidRPr="003A208C">
              <w:rPr>
                <w:rFonts w:asciiTheme="majorHAnsi" w:hAnsiTheme="majorHAnsi"/>
                <w:color w:val="000000"/>
              </w:rPr>
              <w:t>No hay recomendaciones.</w:t>
            </w:r>
          </w:p>
        </w:tc>
      </w:tr>
      <w:tr w:rsidR="005C4618" w:rsidRPr="003A208C" w14:paraId="5CD11021" w14:textId="77777777" w:rsidTr="006654FE">
        <w:tc>
          <w:tcPr>
            <w:tcW w:w="1676" w:type="dxa"/>
            <w:vMerge/>
          </w:tcPr>
          <w:p w14:paraId="119BE254" w14:textId="77777777" w:rsidR="005C4618" w:rsidRPr="003A208C" w:rsidRDefault="005C4618" w:rsidP="00396021">
            <w:pPr>
              <w:spacing w:after="0"/>
              <w:rPr>
                <w:rFonts w:asciiTheme="majorHAnsi" w:eastAsia="Times New Roman" w:hAnsiTheme="majorHAnsi" w:cs="Times New Roman"/>
                <w:lang w:eastAsia="es-ES"/>
              </w:rPr>
            </w:pPr>
          </w:p>
        </w:tc>
        <w:tc>
          <w:tcPr>
            <w:tcW w:w="2024" w:type="dxa"/>
          </w:tcPr>
          <w:p w14:paraId="24465861" w14:textId="5AB70124" w:rsidR="005C4618" w:rsidRPr="003A208C" w:rsidRDefault="005C4618" w:rsidP="00396021">
            <w:pPr>
              <w:spacing w:after="0"/>
              <w:rPr>
                <w:rFonts w:asciiTheme="majorHAnsi" w:eastAsia="Times New Roman" w:hAnsiTheme="majorHAnsi" w:cs="Times New Roman"/>
                <w:lang w:eastAsia="es-ES"/>
              </w:rPr>
            </w:pPr>
            <w:r w:rsidRPr="003A208C">
              <w:rPr>
                <w:rFonts w:asciiTheme="majorHAnsi" w:hAnsiTheme="majorHAnsi"/>
                <w:color w:val="000000"/>
              </w:rPr>
              <w:t>Adecuación de la inserción institucional de la UE de acuerdo a los requerimientos estratégicos, sustantivos y operacionales del proyecto</w:t>
            </w:r>
          </w:p>
        </w:tc>
        <w:tc>
          <w:tcPr>
            <w:tcW w:w="4205" w:type="dxa"/>
          </w:tcPr>
          <w:p w14:paraId="39B94CFE" w14:textId="74FC09F5" w:rsidR="005C4618" w:rsidRPr="003A208C" w:rsidRDefault="005C4618" w:rsidP="005D10B3">
            <w:pPr>
              <w:spacing w:after="0"/>
              <w:rPr>
                <w:rFonts w:asciiTheme="majorHAnsi" w:eastAsia="Times New Roman" w:hAnsiTheme="majorHAnsi" w:cs="Times New Roman"/>
                <w:lang w:eastAsia="es-ES"/>
              </w:rPr>
            </w:pPr>
            <w:r w:rsidRPr="003A208C">
              <w:rPr>
                <w:rFonts w:asciiTheme="majorHAnsi" w:hAnsiTheme="majorHAnsi"/>
                <w:color w:val="000000"/>
              </w:rPr>
              <w:t xml:space="preserve">La Unidad Ejecutora (UE) del proyecto se encuentra en la Subsecretaría de Gestión Administrativa de Innovación Pública dependiente de la Secretaría de Innovación de la Jefatura de Gabinete de Ministros. Está compuesta por consultores con amplia experiencia en implementación de proyectos PNUD y perfiles técnicos adecuados. Tal como se menciona en el Prodoc, dada la magnitud del proyecto y el número de procesos de compras a realizar, se conformará un Área de adquisiciones que responda al Coordinador del Proyecto, responsable por la planificación y ejecución de procesos de compras, y se elaborarán Manuales de Procedimientos Internos del Área de Adquisiciones, a fin de dejar establecidas las funciones y responsabilidades. A su vez, el proyecto utilizará el GDE como sistema de </w:t>
            </w:r>
            <w:r w:rsidR="005D10B3" w:rsidRPr="003A208C">
              <w:rPr>
                <w:rFonts w:asciiTheme="majorHAnsi" w:hAnsiTheme="majorHAnsi"/>
                <w:color w:val="000000"/>
              </w:rPr>
              <w:t>comunicación</w:t>
            </w:r>
            <w:r w:rsidRPr="003A208C">
              <w:rPr>
                <w:rFonts w:asciiTheme="majorHAnsi" w:hAnsiTheme="majorHAnsi"/>
                <w:color w:val="000000"/>
              </w:rPr>
              <w:t xml:space="preserve"> para la gestión, para lo cual han desarrollado instructivos específicos a cada proceso programado y han establecido la utilización del </w:t>
            </w:r>
            <w:r w:rsidR="005D10B3" w:rsidRPr="003A208C">
              <w:rPr>
                <w:rFonts w:asciiTheme="majorHAnsi" w:hAnsiTheme="majorHAnsi"/>
                <w:color w:val="000000"/>
              </w:rPr>
              <w:t>módulo de “Comunicaciones Oficiales”</w:t>
            </w:r>
            <w:r w:rsidRPr="003A208C">
              <w:rPr>
                <w:rFonts w:asciiTheme="majorHAnsi" w:hAnsiTheme="majorHAnsi"/>
                <w:color w:val="000000"/>
              </w:rPr>
              <w:t xml:space="preserve"> para todas las comunicaciones internas.</w:t>
            </w:r>
          </w:p>
        </w:tc>
        <w:tc>
          <w:tcPr>
            <w:tcW w:w="6946" w:type="dxa"/>
          </w:tcPr>
          <w:p w14:paraId="14CB7841" w14:textId="1DC881DE" w:rsidR="005C4618" w:rsidRPr="003A208C" w:rsidRDefault="005C4618" w:rsidP="00396021">
            <w:pPr>
              <w:spacing w:after="0"/>
              <w:rPr>
                <w:rFonts w:asciiTheme="majorHAnsi" w:eastAsia="Times New Roman" w:hAnsiTheme="majorHAnsi" w:cs="Times New Roman"/>
                <w:lang w:eastAsia="es-ES"/>
              </w:rPr>
            </w:pPr>
            <w:r w:rsidRPr="003A208C">
              <w:rPr>
                <w:rFonts w:asciiTheme="majorHAnsi" w:hAnsiTheme="majorHAnsi"/>
                <w:color w:val="000000"/>
              </w:rPr>
              <w:t>La inserción institucional de la UE es la adecuada en términos temáticos y de capacidad de gestión. No obstante, el hecho de que la iniciativa concentre actividades destinadas al fortalecimiento y modernización de diversas áreas de la Secretaría de Innovación Pública, y por lo tanto dependan de verificaciones técnicas, insumos de información y aprobación de especificaciones técnicas provenientes de dichas áreas requirentes</w:t>
            </w:r>
            <w:r w:rsidRPr="003A208C">
              <w:rPr>
                <w:rFonts w:asciiTheme="majorHAnsi" w:hAnsiTheme="majorHAnsi"/>
                <w:i/>
                <w:color w:val="000000"/>
              </w:rPr>
              <w:t xml:space="preserve">, </w:t>
            </w:r>
            <w:r w:rsidRPr="003A208C">
              <w:rPr>
                <w:rFonts w:asciiTheme="majorHAnsi" w:hAnsiTheme="majorHAnsi"/>
                <w:color w:val="000000"/>
              </w:rPr>
              <w:t xml:space="preserve">puede dificultarse el alcance de los resultados previstos en los plazos estipulados para la implementación de las actividades. </w:t>
            </w:r>
            <w:r w:rsidRPr="00D939CF">
              <w:rPr>
                <w:rFonts w:asciiTheme="majorHAnsi" w:hAnsiTheme="majorHAnsi"/>
                <w:color w:val="000000"/>
                <w:highlight w:val="green"/>
              </w:rPr>
              <w:t>Se sugiere Incluir las responsabilidades y los mecanismos de articulación y coordinación previstos (flujo de información) dentro del Manual de Procedimientos a desarrollar.</w:t>
            </w:r>
          </w:p>
        </w:tc>
      </w:tr>
      <w:tr w:rsidR="005C4618" w:rsidRPr="003A208C" w14:paraId="67BCD480" w14:textId="77777777" w:rsidTr="006654FE">
        <w:trPr>
          <w:trHeight w:val="20"/>
        </w:trPr>
        <w:tc>
          <w:tcPr>
            <w:tcW w:w="1676" w:type="dxa"/>
            <w:vMerge/>
          </w:tcPr>
          <w:p w14:paraId="5B64BCDF" w14:textId="77777777" w:rsidR="005C4618" w:rsidRPr="003A208C" w:rsidRDefault="005C4618" w:rsidP="00396021">
            <w:pPr>
              <w:spacing w:after="0"/>
              <w:rPr>
                <w:rFonts w:asciiTheme="majorHAnsi" w:eastAsia="Times New Roman" w:hAnsiTheme="majorHAnsi" w:cs="Times New Roman"/>
                <w:lang w:eastAsia="es-ES"/>
              </w:rPr>
            </w:pPr>
          </w:p>
        </w:tc>
        <w:tc>
          <w:tcPr>
            <w:tcW w:w="2024" w:type="dxa"/>
          </w:tcPr>
          <w:p w14:paraId="42AE8CA8" w14:textId="45467B6F" w:rsidR="005C4618" w:rsidRPr="003A208C" w:rsidRDefault="005C4618" w:rsidP="00396021">
            <w:pPr>
              <w:spacing w:after="0"/>
              <w:rPr>
                <w:rFonts w:asciiTheme="majorHAnsi" w:eastAsia="Times New Roman" w:hAnsiTheme="majorHAnsi" w:cs="Times New Roman"/>
                <w:lang w:eastAsia="es-ES"/>
              </w:rPr>
            </w:pPr>
            <w:r w:rsidRPr="003A208C">
              <w:rPr>
                <w:rFonts w:asciiTheme="majorHAnsi" w:hAnsiTheme="majorHAnsi"/>
                <w:color w:val="000000"/>
              </w:rPr>
              <w:t>Articulación de los resultados y estrategias del proyecto con las prioridades, estrategias y programación del Asociado en la implementación.</w:t>
            </w:r>
          </w:p>
        </w:tc>
        <w:tc>
          <w:tcPr>
            <w:tcW w:w="4205" w:type="dxa"/>
          </w:tcPr>
          <w:p w14:paraId="3D56D41C" w14:textId="1E6E92A4" w:rsidR="005C4618" w:rsidRPr="003A208C" w:rsidRDefault="005C4618" w:rsidP="00396021">
            <w:pPr>
              <w:spacing w:after="0"/>
              <w:rPr>
                <w:rFonts w:asciiTheme="majorHAnsi" w:eastAsia="Times New Roman" w:hAnsiTheme="majorHAnsi" w:cs="Times New Roman"/>
                <w:lang w:eastAsia="es-ES"/>
              </w:rPr>
            </w:pPr>
            <w:r w:rsidRPr="003A208C">
              <w:rPr>
                <w:rFonts w:asciiTheme="majorHAnsi" w:hAnsiTheme="majorHAnsi"/>
                <w:color w:val="000000"/>
              </w:rPr>
              <w:t>Los resultados y estrategias del proyecto se encuentran alineados con las prioridades estratégicas de la SIP.</w:t>
            </w:r>
          </w:p>
        </w:tc>
        <w:tc>
          <w:tcPr>
            <w:tcW w:w="6946" w:type="dxa"/>
          </w:tcPr>
          <w:p w14:paraId="47141029" w14:textId="43FBC5A5" w:rsidR="005C4618" w:rsidRPr="003A208C" w:rsidRDefault="005C4618" w:rsidP="00396021">
            <w:pPr>
              <w:spacing w:after="0"/>
              <w:rPr>
                <w:rFonts w:asciiTheme="majorHAnsi" w:eastAsia="Times New Roman" w:hAnsiTheme="majorHAnsi" w:cs="Times New Roman"/>
                <w:lang w:eastAsia="es-ES"/>
              </w:rPr>
            </w:pPr>
            <w:r w:rsidRPr="003A208C">
              <w:rPr>
                <w:rFonts w:asciiTheme="majorHAnsi" w:hAnsiTheme="majorHAnsi"/>
                <w:color w:val="000000"/>
              </w:rPr>
              <w:t>No hay recomendaciones.</w:t>
            </w:r>
          </w:p>
        </w:tc>
      </w:tr>
      <w:tr w:rsidR="005C4618" w:rsidRPr="003A208C" w14:paraId="044246F4" w14:textId="77777777" w:rsidTr="006654FE">
        <w:trPr>
          <w:trHeight w:val="20"/>
        </w:trPr>
        <w:tc>
          <w:tcPr>
            <w:tcW w:w="1676" w:type="dxa"/>
            <w:vMerge/>
          </w:tcPr>
          <w:p w14:paraId="158388DA" w14:textId="77777777" w:rsidR="005C4618" w:rsidRPr="003A208C" w:rsidRDefault="005C4618" w:rsidP="00396021">
            <w:pPr>
              <w:spacing w:after="0"/>
              <w:rPr>
                <w:rFonts w:asciiTheme="majorHAnsi" w:eastAsia="Times New Roman" w:hAnsiTheme="majorHAnsi" w:cs="Times New Roman"/>
                <w:lang w:eastAsia="es-ES"/>
              </w:rPr>
            </w:pPr>
          </w:p>
        </w:tc>
        <w:tc>
          <w:tcPr>
            <w:tcW w:w="2024" w:type="dxa"/>
          </w:tcPr>
          <w:p w14:paraId="7225C47F" w14:textId="0B321308" w:rsidR="005C4618" w:rsidRPr="003A208C" w:rsidRDefault="005C4618" w:rsidP="00396021">
            <w:pPr>
              <w:spacing w:after="0"/>
              <w:rPr>
                <w:rFonts w:asciiTheme="majorHAnsi" w:eastAsia="Times New Roman" w:hAnsiTheme="majorHAnsi" w:cs="Times New Roman"/>
                <w:lang w:eastAsia="es-ES"/>
              </w:rPr>
            </w:pPr>
            <w:r w:rsidRPr="003A208C">
              <w:rPr>
                <w:rFonts w:asciiTheme="majorHAnsi" w:hAnsiTheme="majorHAnsi"/>
                <w:color w:val="000000"/>
              </w:rPr>
              <w:t>Antecedentes del Asociado en la implementación en el desarrollo de proyectos, en los aspectos de capacidad de gestión, incorporación de nuevas capacidades y sustentabilidad de los productos y resultados.</w:t>
            </w:r>
          </w:p>
        </w:tc>
        <w:tc>
          <w:tcPr>
            <w:tcW w:w="4205" w:type="dxa"/>
          </w:tcPr>
          <w:p w14:paraId="2DF029E8" w14:textId="24563DDC" w:rsidR="005C4618" w:rsidRPr="003A208C" w:rsidRDefault="005C4618" w:rsidP="00396021">
            <w:pPr>
              <w:spacing w:after="0"/>
              <w:rPr>
                <w:rFonts w:asciiTheme="majorHAnsi" w:eastAsia="Times New Roman" w:hAnsiTheme="majorHAnsi" w:cs="Times New Roman"/>
                <w:lang w:eastAsia="es-ES"/>
              </w:rPr>
            </w:pPr>
            <w:r w:rsidRPr="003A208C">
              <w:rPr>
                <w:rFonts w:asciiTheme="majorHAnsi" w:hAnsiTheme="majorHAnsi"/>
                <w:color w:val="000000"/>
              </w:rPr>
              <w:t>El Asociado en la Implementación cuenta con experiencia previa en la gestión de proyectos PNUD (ARG/12/012). Adicionalmente, se prevé que los integrantes de la UE participen de las capacitaciones en materia financiera, de adquisiciones y diseño e implementación del proyecto, así como de ambiente y desarrollo sostenible, género y diversidad sexual que dicte el PNUD. El proyecto da continuidad a algunas de las actividades iniciadas en el marco del proyecto ARG/12/012. En base a dicha experiencia y dada la complejidad y envergadura del proyecto, se diseñó la Actividad 4 de apoyo a las actividades de gestión y seguimiento del proyecto.</w:t>
            </w:r>
          </w:p>
        </w:tc>
        <w:tc>
          <w:tcPr>
            <w:tcW w:w="6946" w:type="dxa"/>
          </w:tcPr>
          <w:p w14:paraId="7184872A" w14:textId="581A469A" w:rsidR="005C4618" w:rsidRPr="003A208C" w:rsidRDefault="005C4618" w:rsidP="00396021">
            <w:pPr>
              <w:spacing w:after="0"/>
              <w:rPr>
                <w:rFonts w:asciiTheme="majorHAnsi" w:eastAsia="Times New Roman" w:hAnsiTheme="majorHAnsi" w:cs="Times New Roman"/>
                <w:lang w:eastAsia="es-ES"/>
              </w:rPr>
            </w:pPr>
            <w:r w:rsidRPr="003A208C">
              <w:rPr>
                <w:rFonts w:asciiTheme="majorHAnsi" w:hAnsiTheme="majorHAnsi"/>
                <w:color w:val="000000"/>
              </w:rPr>
              <w:t>No hay recomendaciones.</w:t>
            </w:r>
          </w:p>
        </w:tc>
      </w:tr>
      <w:tr w:rsidR="005C4618" w:rsidRPr="003A208C" w14:paraId="12556266" w14:textId="77777777" w:rsidTr="006654FE">
        <w:trPr>
          <w:trHeight w:val="20"/>
        </w:trPr>
        <w:tc>
          <w:tcPr>
            <w:tcW w:w="1676" w:type="dxa"/>
            <w:vMerge/>
          </w:tcPr>
          <w:p w14:paraId="7DA8B94E" w14:textId="77777777" w:rsidR="005C4618" w:rsidRPr="003A208C" w:rsidRDefault="005C4618" w:rsidP="00396021">
            <w:pPr>
              <w:spacing w:after="0"/>
              <w:rPr>
                <w:rFonts w:asciiTheme="majorHAnsi" w:eastAsia="Times New Roman" w:hAnsiTheme="majorHAnsi" w:cs="Times New Roman"/>
                <w:lang w:eastAsia="es-ES"/>
              </w:rPr>
            </w:pPr>
          </w:p>
        </w:tc>
        <w:tc>
          <w:tcPr>
            <w:tcW w:w="2024" w:type="dxa"/>
          </w:tcPr>
          <w:p w14:paraId="4CD9EE28" w14:textId="4536C5F3" w:rsidR="005C4618" w:rsidRPr="003A208C" w:rsidRDefault="005C4618" w:rsidP="00396021">
            <w:pPr>
              <w:spacing w:after="0"/>
              <w:rPr>
                <w:rFonts w:asciiTheme="majorHAnsi" w:eastAsia="Times New Roman" w:hAnsiTheme="majorHAnsi" w:cs="Times New Roman"/>
                <w:lang w:eastAsia="es-ES"/>
              </w:rPr>
            </w:pPr>
            <w:r w:rsidRPr="003A208C">
              <w:rPr>
                <w:rFonts w:asciiTheme="majorHAnsi" w:hAnsiTheme="majorHAnsi"/>
                <w:color w:val="000000"/>
              </w:rPr>
              <w:t>Experiencia de articulación con los actores insoslayables para el desarrollo del proyecto</w:t>
            </w:r>
          </w:p>
        </w:tc>
        <w:tc>
          <w:tcPr>
            <w:tcW w:w="4205" w:type="dxa"/>
          </w:tcPr>
          <w:p w14:paraId="5F924215" w14:textId="2CF218A6" w:rsidR="005C4618" w:rsidRPr="003A208C" w:rsidRDefault="005C4618" w:rsidP="00396021">
            <w:pPr>
              <w:spacing w:after="0"/>
              <w:rPr>
                <w:rFonts w:asciiTheme="majorHAnsi" w:eastAsia="Times New Roman" w:hAnsiTheme="majorHAnsi" w:cs="Times New Roman"/>
                <w:lang w:eastAsia="es-ES"/>
              </w:rPr>
            </w:pPr>
            <w:r w:rsidRPr="003A208C">
              <w:rPr>
                <w:rFonts w:asciiTheme="majorHAnsi" w:hAnsiTheme="majorHAnsi"/>
                <w:color w:val="000000"/>
              </w:rPr>
              <w:t>La ejecución del presente proyecto requiere de la eficiente articulación entre diversos actores, principalmente pertenecientes al sector público nacional. Se considera que el proyecto precedente (ARG/12/012) brinda una valiosa experiencia para extraer lecciones aprendidas que permitan mejorar la articulación y coordinación de dichos vínculos. Adicionalmente, a partir de la experiencia de ejecución del proyecto precedente, la UE ya ha diseñado flujogramas de los diferentes procesos previstos a fin de mejorar y eficientizar las instancias de articulación con otras áreas.</w:t>
            </w:r>
          </w:p>
        </w:tc>
        <w:tc>
          <w:tcPr>
            <w:tcW w:w="6946" w:type="dxa"/>
          </w:tcPr>
          <w:p w14:paraId="08FDF966" w14:textId="3893B3F8" w:rsidR="005C4618" w:rsidRPr="003A208C" w:rsidRDefault="005C4618" w:rsidP="00396021">
            <w:pPr>
              <w:spacing w:after="0"/>
              <w:rPr>
                <w:rFonts w:asciiTheme="majorHAnsi" w:eastAsia="Times New Roman" w:hAnsiTheme="majorHAnsi" w:cs="Times New Roman"/>
                <w:lang w:eastAsia="es-ES"/>
              </w:rPr>
            </w:pPr>
            <w:r w:rsidRPr="003A208C">
              <w:rPr>
                <w:rFonts w:asciiTheme="majorHAnsi" w:hAnsiTheme="majorHAnsi"/>
                <w:color w:val="000000"/>
              </w:rPr>
              <w:t xml:space="preserve">Dada la relevancia de la articulación y coordinación con las áreas requirentes para el éxito de la implementación del proyecto, </w:t>
            </w:r>
            <w:r w:rsidRPr="00BA11BA">
              <w:rPr>
                <w:rFonts w:asciiTheme="majorHAnsi" w:hAnsiTheme="majorHAnsi"/>
                <w:color w:val="000000"/>
                <w:highlight w:val="green"/>
              </w:rPr>
              <w:t>se podría incluir en el Prodoc la mención a las acciones ya iniciadas por la UE a este respecto (utilización del GDE, designación de responsables y responsabilidades, flujogramas diseñados, instructivos, etc.).</w:t>
            </w:r>
          </w:p>
        </w:tc>
      </w:tr>
      <w:tr w:rsidR="005C4618" w:rsidRPr="003A208C" w14:paraId="15DB8EB4" w14:textId="77777777" w:rsidTr="006654FE">
        <w:trPr>
          <w:trHeight w:val="20"/>
        </w:trPr>
        <w:tc>
          <w:tcPr>
            <w:tcW w:w="1676" w:type="dxa"/>
            <w:vMerge/>
          </w:tcPr>
          <w:p w14:paraId="70AC9A33" w14:textId="77777777" w:rsidR="005C4618" w:rsidRPr="003A208C" w:rsidRDefault="005C4618" w:rsidP="00396021">
            <w:pPr>
              <w:spacing w:after="0"/>
              <w:rPr>
                <w:rFonts w:asciiTheme="majorHAnsi" w:eastAsia="Times New Roman" w:hAnsiTheme="majorHAnsi" w:cs="Times New Roman"/>
                <w:lang w:eastAsia="es-ES"/>
              </w:rPr>
            </w:pPr>
          </w:p>
        </w:tc>
        <w:tc>
          <w:tcPr>
            <w:tcW w:w="2024" w:type="dxa"/>
          </w:tcPr>
          <w:p w14:paraId="28A48ABE" w14:textId="635EB954" w:rsidR="005C4618" w:rsidRPr="003A208C" w:rsidRDefault="005C4618" w:rsidP="00396021">
            <w:pPr>
              <w:spacing w:after="0"/>
              <w:rPr>
                <w:rFonts w:asciiTheme="majorHAnsi" w:eastAsia="Times New Roman" w:hAnsiTheme="majorHAnsi" w:cs="Times New Roman"/>
                <w:lang w:eastAsia="es-ES"/>
              </w:rPr>
            </w:pPr>
            <w:r w:rsidRPr="003A208C">
              <w:rPr>
                <w:rFonts w:asciiTheme="majorHAnsi" w:hAnsiTheme="majorHAnsi"/>
                <w:color w:val="000000"/>
              </w:rPr>
              <w:t>Previsión de sistema de información adecuado a los requerimientos del Plan de Monitoreo.</w:t>
            </w:r>
          </w:p>
        </w:tc>
        <w:tc>
          <w:tcPr>
            <w:tcW w:w="4205" w:type="dxa"/>
          </w:tcPr>
          <w:p w14:paraId="4B6B6A5F" w14:textId="4294D78A" w:rsidR="005C4618" w:rsidRPr="003A208C" w:rsidRDefault="005C4618" w:rsidP="00396021">
            <w:pPr>
              <w:spacing w:after="0"/>
              <w:rPr>
                <w:rFonts w:asciiTheme="majorHAnsi" w:eastAsia="Times New Roman" w:hAnsiTheme="majorHAnsi" w:cs="Times New Roman"/>
                <w:lang w:eastAsia="es-ES"/>
              </w:rPr>
            </w:pPr>
            <w:r w:rsidRPr="003A208C">
              <w:rPr>
                <w:rFonts w:asciiTheme="majorHAnsi" w:hAnsiTheme="majorHAnsi"/>
                <w:color w:val="000000"/>
              </w:rPr>
              <w:t>Los indicadores más sustantivos dependen de otras subsecretarías, por lo cual se correría el riesgo de obtener la información necesaria en tiempo y forma. Fue un problema en el proyecto ARG/12/012 y es un riesgo potencial para el actual proyecto. En base a la experiencia en el proyecto anterior, la seleccón de indicadores (de producto y de actividades) se realizó teniendo en cuenta la disponibilidad de información y posibilidad de reporte de las áreas requirentes.</w:t>
            </w:r>
          </w:p>
        </w:tc>
        <w:tc>
          <w:tcPr>
            <w:tcW w:w="6946" w:type="dxa"/>
          </w:tcPr>
          <w:p w14:paraId="72DCA60F" w14:textId="579DB62D" w:rsidR="005C4618" w:rsidRPr="009B76F4" w:rsidRDefault="005C4618" w:rsidP="00396021">
            <w:pPr>
              <w:spacing w:after="0"/>
              <w:rPr>
                <w:rFonts w:asciiTheme="majorHAnsi" w:eastAsia="Times New Roman" w:hAnsiTheme="majorHAnsi" w:cs="Times New Roman"/>
                <w:highlight w:val="green"/>
                <w:lang w:eastAsia="es-ES"/>
              </w:rPr>
            </w:pPr>
            <w:r w:rsidRPr="009B76F4">
              <w:rPr>
                <w:rFonts w:asciiTheme="majorHAnsi" w:hAnsiTheme="majorHAnsi"/>
                <w:color w:val="000000"/>
                <w:highlight w:val="green"/>
              </w:rPr>
              <w:t>Consignar en el documento el sistema de información que se utilizará a efectos de medir el cumplimiento de las metas en tiempo y forma.</w:t>
            </w:r>
            <w:bookmarkStart w:id="0" w:name="_GoBack"/>
            <w:bookmarkEnd w:id="0"/>
          </w:p>
        </w:tc>
      </w:tr>
      <w:tr w:rsidR="005C4618" w:rsidRPr="003A208C" w14:paraId="005F3CD3" w14:textId="77777777" w:rsidTr="006654FE">
        <w:trPr>
          <w:trHeight w:val="20"/>
        </w:trPr>
        <w:tc>
          <w:tcPr>
            <w:tcW w:w="1676" w:type="dxa"/>
            <w:vMerge/>
          </w:tcPr>
          <w:p w14:paraId="22FE4F9B" w14:textId="77777777" w:rsidR="005C4618" w:rsidRPr="003A208C" w:rsidRDefault="005C4618" w:rsidP="00396021">
            <w:pPr>
              <w:spacing w:after="0"/>
              <w:rPr>
                <w:rFonts w:asciiTheme="majorHAnsi" w:eastAsia="Times New Roman" w:hAnsiTheme="majorHAnsi" w:cs="Times New Roman"/>
                <w:lang w:eastAsia="es-ES"/>
              </w:rPr>
            </w:pPr>
          </w:p>
        </w:tc>
        <w:tc>
          <w:tcPr>
            <w:tcW w:w="2024" w:type="dxa"/>
          </w:tcPr>
          <w:p w14:paraId="1140BA57" w14:textId="35EB4F06" w:rsidR="005C4618" w:rsidRPr="003A208C" w:rsidRDefault="005C4618" w:rsidP="00396021">
            <w:pPr>
              <w:spacing w:after="0"/>
              <w:rPr>
                <w:rFonts w:asciiTheme="majorHAnsi" w:eastAsia="Times New Roman" w:hAnsiTheme="majorHAnsi" w:cs="Times New Roman"/>
                <w:lang w:eastAsia="es-ES"/>
              </w:rPr>
            </w:pPr>
            <w:r w:rsidRPr="003A208C">
              <w:rPr>
                <w:rFonts w:asciiTheme="majorHAnsi" w:hAnsiTheme="majorHAnsi"/>
                <w:color w:val="000000"/>
              </w:rPr>
              <w:t>Inclusión de los recursos necesarios para la implementación del Plan de M&amp;E.</w:t>
            </w:r>
          </w:p>
        </w:tc>
        <w:tc>
          <w:tcPr>
            <w:tcW w:w="4205" w:type="dxa"/>
          </w:tcPr>
          <w:p w14:paraId="7B394497" w14:textId="062BB333" w:rsidR="005C4618" w:rsidRPr="003A208C" w:rsidRDefault="005C4618" w:rsidP="00396021">
            <w:pPr>
              <w:spacing w:after="0"/>
              <w:rPr>
                <w:rFonts w:asciiTheme="majorHAnsi" w:eastAsia="Times New Roman" w:hAnsiTheme="majorHAnsi" w:cs="Times New Roman"/>
                <w:lang w:eastAsia="es-ES"/>
              </w:rPr>
            </w:pPr>
            <w:r w:rsidRPr="003A208C">
              <w:rPr>
                <w:rFonts w:asciiTheme="majorHAnsi" w:hAnsiTheme="majorHAnsi"/>
                <w:color w:val="000000"/>
              </w:rPr>
              <w:t>En el diseño del proyecto se contempla la Actividad 4 de Apoyo a la gestión y seguimiento del proyecto, dentro de la cual se proyecta el cumplimiento de las acciones de seguimiento y monitoreo de la ejecución del mismo. Para ello, se prevé la contratación de consultores/as especializados/as con su correspondiente imputación presupuestaria.</w:t>
            </w:r>
          </w:p>
        </w:tc>
        <w:tc>
          <w:tcPr>
            <w:tcW w:w="6946" w:type="dxa"/>
          </w:tcPr>
          <w:p w14:paraId="5F093C68" w14:textId="0E955E70" w:rsidR="005C4618" w:rsidRPr="003A208C" w:rsidRDefault="005C4618" w:rsidP="00396021">
            <w:pPr>
              <w:spacing w:after="0"/>
              <w:rPr>
                <w:rFonts w:asciiTheme="majorHAnsi" w:eastAsia="Times New Roman" w:hAnsiTheme="majorHAnsi" w:cs="Times New Roman"/>
                <w:lang w:eastAsia="es-ES"/>
              </w:rPr>
            </w:pPr>
            <w:r w:rsidRPr="003A208C">
              <w:rPr>
                <w:rFonts w:asciiTheme="majorHAnsi" w:hAnsiTheme="majorHAnsi"/>
                <w:color w:val="000000"/>
              </w:rPr>
              <w:t>No hay recomendaciones.</w:t>
            </w:r>
          </w:p>
        </w:tc>
      </w:tr>
      <w:tr w:rsidR="00B433ED" w:rsidRPr="003A208C" w14:paraId="459484B7" w14:textId="77777777" w:rsidTr="006654FE">
        <w:trPr>
          <w:trHeight w:val="20"/>
        </w:trPr>
        <w:tc>
          <w:tcPr>
            <w:tcW w:w="1676" w:type="dxa"/>
            <w:vMerge w:val="restart"/>
          </w:tcPr>
          <w:p w14:paraId="60AD125D" w14:textId="2527C3AF" w:rsidR="00B433ED" w:rsidRPr="003A208C" w:rsidRDefault="00B433ED" w:rsidP="00396021">
            <w:pPr>
              <w:spacing w:after="0"/>
              <w:rPr>
                <w:rFonts w:asciiTheme="majorHAnsi" w:eastAsia="Times New Roman" w:hAnsiTheme="majorHAnsi" w:cs="Times New Roman"/>
                <w:lang w:eastAsia="es-ES"/>
              </w:rPr>
            </w:pPr>
            <w:r w:rsidRPr="003A208C">
              <w:rPr>
                <w:rFonts w:asciiTheme="majorHAnsi" w:hAnsiTheme="majorHAnsi"/>
                <w:color w:val="000000"/>
              </w:rPr>
              <w:t>Adecuación de la propuesta técnica a los objetivos y metas enunciados por el proyecto</w:t>
            </w:r>
          </w:p>
        </w:tc>
        <w:tc>
          <w:tcPr>
            <w:tcW w:w="2024" w:type="dxa"/>
          </w:tcPr>
          <w:p w14:paraId="6AA65DF7" w14:textId="0621F23A" w:rsidR="00B433ED" w:rsidRPr="003A208C" w:rsidRDefault="003667E5" w:rsidP="00396021">
            <w:pPr>
              <w:spacing w:after="0"/>
              <w:rPr>
                <w:rFonts w:asciiTheme="majorHAnsi" w:eastAsia="Times New Roman" w:hAnsiTheme="majorHAnsi" w:cs="Times New Roman"/>
                <w:lang w:eastAsia="es-ES"/>
              </w:rPr>
            </w:pPr>
            <w:r w:rsidRPr="003A208C">
              <w:rPr>
                <w:rFonts w:asciiTheme="majorHAnsi" w:hAnsiTheme="majorHAnsi"/>
                <w:color w:val="000000"/>
              </w:rPr>
              <w:t>Adecuación y precisión en la formulación del problema a abordar, análisis de causas y efectos, alternativas, etc.</w:t>
            </w:r>
          </w:p>
        </w:tc>
        <w:tc>
          <w:tcPr>
            <w:tcW w:w="4205" w:type="dxa"/>
          </w:tcPr>
          <w:p w14:paraId="0B6FAF57" w14:textId="6ED7FC91" w:rsidR="00B433ED" w:rsidRPr="003A208C" w:rsidRDefault="003667E5" w:rsidP="00396021">
            <w:pPr>
              <w:spacing w:after="0"/>
              <w:rPr>
                <w:rFonts w:asciiTheme="majorHAnsi" w:eastAsia="Times New Roman" w:hAnsiTheme="majorHAnsi" w:cs="Times New Roman"/>
                <w:lang w:eastAsia="es-ES"/>
              </w:rPr>
            </w:pPr>
            <w:r w:rsidRPr="003A208C">
              <w:rPr>
                <w:rFonts w:asciiTheme="majorHAnsi" w:hAnsiTheme="majorHAnsi"/>
                <w:color w:val="000000"/>
              </w:rPr>
              <w:t>El proyecto cuenta con una teoría del cambio propia, que describe adecuadamente el problema a abordar, el análisis de sus causas, sus consecuencias y la definición de las intervenciones a implementar, a partir de una estrategia doble: por un lado, mejorar las capacidades del Estado por medio de la incorporación de TICs y, por el otro, promover la inclusión de la población en situación de vulnerabilidad para acortar las brechas digitales.</w:t>
            </w:r>
          </w:p>
        </w:tc>
        <w:tc>
          <w:tcPr>
            <w:tcW w:w="6946" w:type="dxa"/>
          </w:tcPr>
          <w:p w14:paraId="56A65194" w14:textId="4F74A6A4" w:rsidR="00B433ED" w:rsidRPr="003A208C" w:rsidRDefault="003667E5" w:rsidP="00396021">
            <w:pPr>
              <w:spacing w:after="0"/>
              <w:rPr>
                <w:rFonts w:asciiTheme="majorHAnsi" w:eastAsia="Times New Roman" w:hAnsiTheme="majorHAnsi" w:cs="Times New Roman"/>
                <w:lang w:eastAsia="es-ES"/>
              </w:rPr>
            </w:pPr>
            <w:r w:rsidRPr="003A208C">
              <w:rPr>
                <w:rFonts w:asciiTheme="majorHAnsi" w:hAnsiTheme="majorHAnsi"/>
                <w:color w:val="000000"/>
              </w:rPr>
              <w:t xml:space="preserve">En la primera revisión del proyecto, podría aprovecharse para mejorar el diagnóstico enfatizando la importancia de la inclusión digital en el desarrollo humano, la inserción en el mercado de trabajo y la posibilidad de lograr autonomía económica de las personas y, por consiguiente, del país. Algunos insumos que pueden tenerse en cuenta para ello son: Galperín, Hernán (2017), “Sociedad digital: Brechas y retos para la inclusión digital en América Latina y el Caribe”, UNESCO (disponible en </w:t>
            </w:r>
            <w:hyperlink r:id="rId10" w:history="1">
              <w:r w:rsidRPr="003A208C">
                <w:rPr>
                  <w:rStyle w:val="Hipervnculo"/>
                  <w:rFonts w:asciiTheme="majorHAnsi" w:hAnsiTheme="majorHAnsi"/>
                </w:rPr>
                <w:t>https://unesdoc.unesco.org/ark:/48223/pf0000262860?posInSet=1&amp;queryId=2edb958d-fd35-4765-8031-59a4b55bee27</w:t>
              </w:r>
            </w:hyperlink>
            <w:r w:rsidRPr="003A208C">
              <w:rPr>
                <w:rFonts w:asciiTheme="majorHAnsi" w:hAnsiTheme="majorHAnsi"/>
                <w:color w:val="000000"/>
              </w:rPr>
              <w:t xml:space="preserve">); Hinostroza, Enrique (2017), “Tic, educación y desarrollo social en América Latina y el Caribe", UNESCO (disponible en </w:t>
            </w:r>
            <w:hyperlink r:id="rId11" w:history="1">
              <w:r w:rsidRPr="003A208C">
                <w:rPr>
                  <w:rStyle w:val="Hipervnculo"/>
                  <w:rFonts w:asciiTheme="majorHAnsi" w:hAnsiTheme="majorHAnsi"/>
                </w:rPr>
                <w:t>https://unesdoc.unesco.org/ark:/48223/pf0000262862</w:t>
              </w:r>
            </w:hyperlink>
            <w:r w:rsidRPr="003A208C">
              <w:rPr>
                <w:rFonts w:asciiTheme="majorHAnsi" w:hAnsiTheme="majorHAnsi"/>
                <w:color w:val="000000"/>
              </w:rPr>
              <w:t>) o el recientemente publicado PNUD (2020), "Argentina: Inclusión Digital y Desarrollo Humano". A partir de allí, reforzar el hilo conductor dado por la teoría del cambio para lograr una mejor vinculación entre las cuestiones de índole institucional que definen las actividades, y su impacto en el empoderamiento de los grupos en situación de vulnerabilidad que se espera alcanzar.</w:t>
            </w:r>
          </w:p>
        </w:tc>
      </w:tr>
      <w:tr w:rsidR="00B433ED" w:rsidRPr="003A208C" w14:paraId="37A9ED63" w14:textId="77777777" w:rsidTr="006654FE">
        <w:trPr>
          <w:trHeight w:val="20"/>
        </w:trPr>
        <w:tc>
          <w:tcPr>
            <w:tcW w:w="1676" w:type="dxa"/>
            <w:vMerge/>
          </w:tcPr>
          <w:p w14:paraId="6DB4342C" w14:textId="77777777" w:rsidR="00B433ED" w:rsidRPr="003A208C" w:rsidRDefault="00B433ED" w:rsidP="00396021">
            <w:pPr>
              <w:spacing w:after="0"/>
              <w:rPr>
                <w:rFonts w:asciiTheme="majorHAnsi" w:eastAsia="Times New Roman" w:hAnsiTheme="majorHAnsi" w:cs="Times New Roman"/>
                <w:lang w:eastAsia="es-ES"/>
              </w:rPr>
            </w:pPr>
          </w:p>
        </w:tc>
        <w:tc>
          <w:tcPr>
            <w:tcW w:w="2024" w:type="dxa"/>
          </w:tcPr>
          <w:p w14:paraId="35427811" w14:textId="2E47CB28" w:rsidR="00B433ED" w:rsidRPr="003A208C" w:rsidRDefault="001F2F4E" w:rsidP="00396021">
            <w:pPr>
              <w:spacing w:after="0"/>
              <w:rPr>
                <w:rFonts w:asciiTheme="majorHAnsi" w:eastAsia="Times New Roman" w:hAnsiTheme="majorHAnsi" w:cs="Times New Roman"/>
                <w:lang w:eastAsia="es-ES"/>
              </w:rPr>
            </w:pPr>
            <w:r w:rsidRPr="003A208C">
              <w:rPr>
                <w:rFonts w:asciiTheme="majorHAnsi" w:hAnsiTheme="majorHAnsi"/>
                <w:color w:val="000000"/>
              </w:rPr>
              <w:t>Pertinencia de las estrategias de intervención planteadas en relación con la problemática a abordar.</w:t>
            </w:r>
          </w:p>
        </w:tc>
        <w:tc>
          <w:tcPr>
            <w:tcW w:w="4205" w:type="dxa"/>
          </w:tcPr>
          <w:p w14:paraId="5204F639" w14:textId="1221D6F7" w:rsidR="00B433ED" w:rsidRPr="003A208C" w:rsidRDefault="001F2F4E" w:rsidP="00396021">
            <w:pPr>
              <w:spacing w:after="0"/>
              <w:rPr>
                <w:rFonts w:asciiTheme="majorHAnsi" w:eastAsia="Times New Roman" w:hAnsiTheme="majorHAnsi" w:cs="Times New Roman"/>
                <w:lang w:eastAsia="es-ES"/>
              </w:rPr>
            </w:pPr>
            <w:r w:rsidRPr="003A208C">
              <w:rPr>
                <w:rFonts w:asciiTheme="majorHAnsi" w:hAnsiTheme="majorHAnsi"/>
                <w:color w:val="000000"/>
              </w:rPr>
              <w:t>La propuesta resulta pertinente y adecuada a la realidad que pretende modificar, evidenciándose una correspondencia entre las necesidades enunciadas y la estrategia a implementar. No obstante, la mayor parte de las actividades responden a la primera vertiente estratégica (mejora de las capacidades del Estado) y no se profundiza demasiado en el abordaje de las complejidades existentes para lograr la inclusión digital de las poblaciones en situación de vulnerabilidad (segunda vertiente estratégica). A su vez, en la descripción de las Actividades 2 y 3, se genera cierta confusión acerca del alcance de cada una de ellas en cuanto a cuáles serán las áreas/sistemas apoyados por cada una.</w:t>
            </w:r>
          </w:p>
        </w:tc>
        <w:tc>
          <w:tcPr>
            <w:tcW w:w="6946" w:type="dxa"/>
          </w:tcPr>
          <w:p w14:paraId="2366BE94" w14:textId="7DE16E76" w:rsidR="00B433ED" w:rsidRPr="003A208C" w:rsidRDefault="001F2F4E" w:rsidP="00396021">
            <w:pPr>
              <w:spacing w:after="0"/>
              <w:rPr>
                <w:rFonts w:asciiTheme="majorHAnsi" w:eastAsia="Times New Roman" w:hAnsiTheme="majorHAnsi" w:cs="Times New Roman"/>
                <w:lang w:eastAsia="es-ES"/>
              </w:rPr>
            </w:pPr>
            <w:r w:rsidRPr="003A208C">
              <w:rPr>
                <w:rFonts w:asciiTheme="majorHAnsi" w:hAnsiTheme="majorHAnsi"/>
                <w:color w:val="000000"/>
              </w:rPr>
              <w:t>En línea con el comentario anterior, para la primera revisión del proyecto, se sugiere que se explicite y enfatice un poco más cómo el proyecto promoverá el acceso a la información de la población en mayor situación de vulnerabilidad; por ejemplo, resaltando más el vínculo con las actividades de educación o alfabetización digital brindadas en los Puntos Digitales; mayor referencia a acciones de difusión acerca de las capacitaciones que se brindan y las planificadas (en el marco del FormAr), así como de las aplicaciones y plataformas existentes con el fin de promover su conocimiento y utilización (con énfasis en mujeres y personas LGTBIQ+ en situación de vulnerabilidad, adultos mayores, personas con discapacidad). Para ello, en el desarrollo de las aplicaciones, y especialmente en lo referido a la plataforma TAD, se sugiere considerar la difusión de información y utilización de un lenguaje claro y de lectura fácil de los trámites. El proyecto contempla la inclusión de Inteligencia Artificial a través de bots o sistemas de reconocimiento por voz para garantizar la la accesibilidad de personas con discapacidad. De ser posible, sería deseable ampliar la utilización de este tipo de tecnologías para alcanzar a otras poblaciones potencialmente excluidas del entorno y lenguaje digital, como podrían ser los adultos mayores. Podría considerarse trabajar específicamente con esta población, tal vez en una etapa posterior, de escalabilidad del proyecto. En lo que refiere al otorgamiento de las becas de capacitación en el marco del Programa FormAr, se prevé un total de 2000 becas durante el año 2021. Se podría incluir la intención de ampliar y escalarla esta iniciativa en años subsiguientes, promoviendo la movilización de recursos a tal fin (tal vez mediante alianzas con otros organismos gubernamentales -por ejemplo, MinCyT-, universidades o sector privado). A su vez, en los pliegos de la SDP prevista, se sugiere incorporar los criterios de selección de las y los beneficiarios (por género, región, nivel socioeconómico) y cupos, para garantizar la representatividad de los grupos en situación de vulnerabilidad a los que se espera alcanzar. En línea con lo anterior, prever acciones de difusión al momento de lanzar la convocatoria a las becas diferenciadas, para asegurar que la información alcance a dichos grupos. Por último, sería interesante explorar la posibilidad de generar alianzas y articulaciones con las Oficinas de Empleo/programas (por ejemplo, Mi primer trabajo) y con el sector privado para propiciar la inserción laboral de las y los egresados de los cursos.</w:t>
            </w:r>
          </w:p>
        </w:tc>
      </w:tr>
      <w:tr w:rsidR="00B433ED" w:rsidRPr="003A208C" w14:paraId="465DFFBB" w14:textId="77777777" w:rsidTr="006654FE">
        <w:trPr>
          <w:trHeight w:val="20"/>
        </w:trPr>
        <w:tc>
          <w:tcPr>
            <w:tcW w:w="1676" w:type="dxa"/>
            <w:vMerge/>
          </w:tcPr>
          <w:p w14:paraId="0D04BC98" w14:textId="77777777" w:rsidR="00B433ED" w:rsidRPr="003A208C" w:rsidRDefault="00B433ED" w:rsidP="00396021">
            <w:pPr>
              <w:spacing w:after="0"/>
              <w:rPr>
                <w:rFonts w:asciiTheme="majorHAnsi" w:eastAsia="Times New Roman" w:hAnsiTheme="majorHAnsi" w:cs="Times New Roman"/>
                <w:lang w:eastAsia="es-ES"/>
              </w:rPr>
            </w:pPr>
          </w:p>
        </w:tc>
        <w:tc>
          <w:tcPr>
            <w:tcW w:w="2024" w:type="dxa"/>
          </w:tcPr>
          <w:p w14:paraId="09C3CD97" w14:textId="498CF96B" w:rsidR="00B433ED" w:rsidRPr="003A208C" w:rsidRDefault="001F2F4E" w:rsidP="00396021">
            <w:pPr>
              <w:spacing w:after="0"/>
              <w:rPr>
                <w:rFonts w:asciiTheme="majorHAnsi" w:eastAsia="Times New Roman" w:hAnsiTheme="majorHAnsi" w:cs="Times New Roman"/>
                <w:lang w:eastAsia="es-ES"/>
              </w:rPr>
            </w:pPr>
            <w:r w:rsidRPr="003A208C">
              <w:rPr>
                <w:rFonts w:asciiTheme="majorHAnsi" w:hAnsiTheme="majorHAnsi" w:cs="Lucida Grande"/>
                <w:color w:val="000000"/>
              </w:rPr>
              <w:t>Previsión de contribuciones técnico-sustantivas por parte del PNUD.</w:t>
            </w:r>
          </w:p>
        </w:tc>
        <w:tc>
          <w:tcPr>
            <w:tcW w:w="4205" w:type="dxa"/>
          </w:tcPr>
          <w:p w14:paraId="37B2E070" w14:textId="0D1007A0" w:rsidR="00B433ED" w:rsidRPr="003A208C" w:rsidRDefault="001F2F4E" w:rsidP="00396021">
            <w:pPr>
              <w:spacing w:after="0"/>
              <w:rPr>
                <w:rFonts w:asciiTheme="majorHAnsi" w:eastAsia="Times New Roman" w:hAnsiTheme="majorHAnsi" w:cs="Times New Roman"/>
                <w:lang w:eastAsia="es-ES"/>
              </w:rPr>
            </w:pPr>
            <w:r w:rsidRPr="003A208C">
              <w:rPr>
                <w:rFonts w:asciiTheme="majorHAnsi" w:hAnsiTheme="majorHAnsi"/>
                <w:color w:val="000000"/>
              </w:rPr>
              <w:t>Se prevé realizar jornadas de capacitaciones en materia ambiente y desarrollo sostenible y de género y diversidad sexual con contenidos que contemplen las necesidades e intereses de hombres y mujeres y población LGBTI dictadas por las áreas de ambiente y de de género del PNUD respectivamente. En principio, estarán dirigidas al personal de la SIP y se contempla la posibilidad de escalarlas también a las beneficiarias y los beneficiarios del proyecto. También, se prevé el acompañamiento y apoyo técnico del área de adquisiciones del PNUD a lo largo de toda la implementación del proyecto y, especialmente, en el proceso de licitación del SORTER en el marco de la Actividad 1.</w:t>
            </w:r>
          </w:p>
        </w:tc>
        <w:tc>
          <w:tcPr>
            <w:tcW w:w="6946" w:type="dxa"/>
          </w:tcPr>
          <w:p w14:paraId="64590692" w14:textId="5FE0554A" w:rsidR="00B433ED" w:rsidRPr="003A208C" w:rsidRDefault="001F2F4E" w:rsidP="00396021">
            <w:pPr>
              <w:spacing w:after="0"/>
              <w:rPr>
                <w:rFonts w:asciiTheme="majorHAnsi" w:eastAsia="Times New Roman" w:hAnsiTheme="majorHAnsi" w:cs="Times New Roman"/>
                <w:lang w:eastAsia="es-ES"/>
              </w:rPr>
            </w:pPr>
            <w:r w:rsidRPr="003A208C">
              <w:rPr>
                <w:rFonts w:asciiTheme="majorHAnsi" w:hAnsiTheme="majorHAnsi"/>
                <w:color w:val="000000"/>
              </w:rPr>
              <w:t>El proyecto cuenta con un gran potencial en su implementación y posibilidad de escalamiento de las iniciativas. Los distintos clusters del PNUD pueden contribuir desde sus áreas de expertise brindando asistencia técnica, particularmente en lo que refiere a cómo lograr que las mejoras en la infraestructura de TICs (Sorter, equipos de telemedicina, equipamiento informático en general) y los nuevos desarrollos (apps y plataformas) e iniciativas (Puntos Digitales, Becas FormAr) logren efectivamente la inclusión digital de los distintos grupos en situación de vulnerabilidad. El PNUD también podría proveer asistencia técnica al proyecto para vincular el programa de becas FormAr con actores u organismos que promuevan la inserción laboral, como ser, por ejemplo, las Oficinas de Empleo, el Programa Mi primer trabajo, o el sector privado, entre otros.</w:t>
            </w:r>
          </w:p>
        </w:tc>
      </w:tr>
      <w:tr w:rsidR="00B433ED" w:rsidRPr="003A208C" w14:paraId="25185FB8" w14:textId="77777777" w:rsidTr="006654FE">
        <w:trPr>
          <w:trHeight w:val="20"/>
        </w:trPr>
        <w:tc>
          <w:tcPr>
            <w:tcW w:w="1676" w:type="dxa"/>
            <w:vMerge/>
          </w:tcPr>
          <w:p w14:paraId="1F2889F8" w14:textId="77777777" w:rsidR="00B433ED" w:rsidRPr="003A208C" w:rsidRDefault="00B433ED" w:rsidP="00396021">
            <w:pPr>
              <w:spacing w:after="0"/>
              <w:rPr>
                <w:rFonts w:asciiTheme="majorHAnsi" w:eastAsia="Times New Roman" w:hAnsiTheme="majorHAnsi" w:cs="Times New Roman"/>
                <w:lang w:eastAsia="es-ES"/>
              </w:rPr>
            </w:pPr>
          </w:p>
        </w:tc>
        <w:tc>
          <w:tcPr>
            <w:tcW w:w="2024" w:type="dxa"/>
          </w:tcPr>
          <w:p w14:paraId="7141AB2F" w14:textId="3E6E3AC8" w:rsidR="00B433ED" w:rsidRPr="003A208C" w:rsidRDefault="001F2F4E" w:rsidP="00396021">
            <w:pPr>
              <w:spacing w:after="0"/>
              <w:rPr>
                <w:rFonts w:asciiTheme="majorHAnsi" w:eastAsia="Times New Roman" w:hAnsiTheme="majorHAnsi" w:cs="Times New Roman"/>
                <w:lang w:eastAsia="es-ES"/>
              </w:rPr>
            </w:pPr>
            <w:r w:rsidRPr="003A208C">
              <w:rPr>
                <w:rFonts w:asciiTheme="majorHAnsi" w:hAnsiTheme="majorHAnsi"/>
                <w:color w:val="000000"/>
              </w:rPr>
              <w:t>Calidad de la formulación del plan de trabajo (resultados, productos, actividades y recursos).</w:t>
            </w:r>
          </w:p>
        </w:tc>
        <w:tc>
          <w:tcPr>
            <w:tcW w:w="4205" w:type="dxa"/>
          </w:tcPr>
          <w:p w14:paraId="7F511DD6" w14:textId="50433034" w:rsidR="00B433ED" w:rsidRPr="003A208C" w:rsidRDefault="001F2F4E" w:rsidP="00396021">
            <w:pPr>
              <w:spacing w:after="0"/>
              <w:rPr>
                <w:rFonts w:asciiTheme="majorHAnsi" w:eastAsia="Times New Roman" w:hAnsiTheme="majorHAnsi" w:cs="Times New Roman"/>
                <w:lang w:eastAsia="es-ES"/>
              </w:rPr>
            </w:pPr>
            <w:r w:rsidRPr="003A208C">
              <w:rPr>
                <w:rFonts w:asciiTheme="majorHAnsi" w:hAnsiTheme="majorHAnsi"/>
                <w:color w:val="000000"/>
              </w:rPr>
              <w:t>El Plan de trabajo plurianual es consistente con la estrategia del proyecto y los resultados esperados. Se define un producto, 3 actividades sustantivas y 1 de apoyo a la gestión y seguimiento del proyecto con sus correspondientes plazos y previsión de recursos presupuestarios, que resultan adecuados. Se destaca la planificación de dos acciones en materia de género y diversidad (1.2.4 y 1.3.3) con presupuesto asignado. Asimismo, el marco de resultados cuenta con indicadores de producto y metas anuales programadas.</w:t>
            </w:r>
          </w:p>
        </w:tc>
        <w:tc>
          <w:tcPr>
            <w:tcW w:w="6946" w:type="dxa"/>
          </w:tcPr>
          <w:p w14:paraId="65F28D01" w14:textId="1DA8D2DF" w:rsidR="00B433ED" w:rsidRPr="003A208C" w:rsidRDefault="001F2F4E" w:rsidP="00396021">
            <w:pPr>
              <w:spacing w:after="0"/>
              <w:rPr>
                <w:rFonts w:asciiTheme="majorHAnsi" w:eastAsia="Times New Roman" w:hAnsiTheme="majorHAnsi" w:cs="Times New Roman"/>
                <w:lang w:eastAsia="es-ES"/>
              </w:rPr>
            </w:pPr>
            <w:r w:rsidRPr="003A208C">
              <w:rPr>
                <w:rFonts w:asciiTheme="majorHAnsi" w:hAnsiTheme="majorHAnsi"/>
                <w:color w:val="000000"/>
              </w:rPr>
              <w:t>No hay recomendaciones.</w:t>
            </w:r>
          </w:p>
        </w:tc>
      </w:tr>
      <w:tr w:rsidR="00B433ED" w:rsidRPr="003A208C" w14:paraId="717B2FCB" w14:textId="77777777" w:rsidTr="006654FE">
        <w:trPr>
          <w:trHeight w:val="20"/>
        </w:trPr>
        <w:tc>
          <w:tcPr>
            <w:tcW w:w="1676" w:type="dxa"/>
            <w:vMerge/>
          </w:tcPr>
          <w:p w14:paraId="331CCF17" w14:textId="77777777" w:rsidR="00B433ED" w:rsidRPr="003A208C" w:rsidRDefault="00B433ED" w:rsidP="00396021">
            <w:pPr>
              <w:spacing w:after="0"/>
              <w:rPr>
                <w:rFonts w:asciiTheme="majorHAnsi" w:eastAsia="Times New Roman" w:hAnsiTheme="majorHAnsi" w:cs="Times New Roman"/>
                <w:lang w:eastAsia="es-ES"/>
              </w:rPr>
            </w:pPr>
          </w:p>
        </w:tc>
        <w:tc>
          <w:tcPr>
            <w:tcW w:w="2024" w:type="dxa"/>
          </w:tcPr>
          <w:p w14:paraId="73417680" w14:textId="11022EF5" w:rsidR="00B433ED" w:rsidRPr="003A208C" w:rsidRDefault="001F2F4E" w:rsidP="00396021">
            <w:pPr>
              <w:spacing w:after="0"/>
              <w:rPr>
                <w:rFonts w:asciiTheme="majorHAnsi" w:eastAsia="Times New Roman" w:hAnsiTheme="majorHAnsi" w:cs="Times New Roman"/>
                <w:lang w:eastAsia="es-ES"/>
              </w:rPr>
            </w:pPr>
            <w:r w:rsidRPr="003A208C">
              <w:rPr>
                <w:rFonts w:asciiTheme="majorHAnsi" w:hAnsiTheme="majorHAnsi" w:cs="Lucida Grande"/>
                <w:color w:val="000000"/>
              </w:rPr>
              <w:t>Adecuación y pertinencia de las estrategias de intervención para la promoción de la igualdad de género.</w:t>
            </w:r>
          </w:p>
        </w:tc>
        <w:tc>
          <w:tcPr>
            <w:tcW w:w="4205" w:type="dxa"/>
          </w:tcPr>
          <w:p w14:paraId="316C01D7" w14:textId="7215247B" w:rsidR="00B433ED" w:rsidRPr="003A208C" w:rsidRDefault="001F2F4E" w:rsidP="00396021">
            <w:pPr>
              <w:spacing w:after="0"/>
              <w:rPr>
                <w:rFonts w:asciiTheme="majorHAnsi" w:eastAsia="Times New Roman" w:hAnsiTheme="majorHAnsi" w:cs="Times New Roman"/>
                <w:lang w:eastAsia="es-ES"/>
              </w:rPr>
            </w:pPr>
            <w:r w:rsidRPr="003A208C">
              <w:rPr>
                <w:rFonts w:asciiTheme="majorHAnsi" w:hAnsiTheme="majorHAnsi"/>
                <w:color w:val="000000"/>
              </w:rPr>
              <w:t>Se han identificado y planificado algunas acciones para la promoción de la igualdad de género, tales como la incorporación de tecnología en áreas de la administración pública -como son los puntos digitales y centros de salud - ubicados en regiones/localidades con mayor concentración de mujeres rurales y mujeres jóvenes; la difusión de información en materia de género y diversidad y con lenguajes claros e inclusivos las aplicaciones y plataformas de gestión de trámites a desarrollar, y la intención de promover la paridad entre hombre y mujeres tanto en la selección de beneficiarios de las becas del Programa FormAr, como en la contratación de consultores del proyecto, y se prevé la transversalización del enfoque de género en las instancias de capacitación previstas. Asimismo, de acuerdo a lo indicado en el Prodoc, las acciones a desarrollar incorporarán la perspectiva de género, a partir de las políticas que la SIPrealiza en coordinación con el Ministerio de las Mujeres, Género y Diversidad en el marco del Plan Nacional de Acción contra las Violencias por Motivos de Género 2020-2022. Se destaca la planificación de dos acciones en materia de género y diversidad (1.2.4 y 1.3.3) con presupuesto asignado. El marco de resultados cuenta con indicadores de producto y metas anuales programadas.</w:t>
            </w:r>
          </w:p>
        </w:tc>
        <w:tc>
          <w:tcPr>
            <w:tcW w:w="6946" w:type="dxa"/>
          </w:tcPr>
          <w:p w14:paraId="178F59F8" w14:textId="0E41E016" w:rsidR="00B433ED" w:rsidRPr="003A208C" w:rsidRDefault="001F2F4E" w:rsidP="00396021">
            <w:pPr>
              <w:spacing w:after="0"/>
              <w:rPr>
                <w:rFonts w:asciiTheme="majorHAnsi" w:eastAsia="Times New Roman" w:hAnsiTheme="majorHAnsi" w:cs="Times New Roman"/>
                <w:lang w:eastAsia="es-ES"/>
              </w:rPr>
            </w:pPr>
            <w:r w:rsidRPr="003A208C">
              <w:rPr>
                <w:rFonts w:asciiTheme="majorHAnsi" w:hAnsiTheme="majorHAnsi"/>
                <w:color w:val="000000"/>
              </w:rPr>
              <w:t xml:space="preserve">Se sugiere incorporar en el Prodoc que una de las áreas requirentes, especialmente en las actividades vinculadas con capacitación y formación, es la Dirección General de Mujer, Géneros y Diversidad de la Subsecretaría de Gobierno Abierto y País Digital, que será una aliada clave al momento de garantizar que la perspectiva de género sea transversalizada y considerada en la implementación de las actividades. </w:t>
            </w:r>
          </w:p>
        </w:tc>
      </w:tr>
      <w:tr w:rsidR="00B433ED" w:rsidRPr="003A208C" w14:paraId="31FE370D" w14:textId="77777777" w:rsidTr="006654FE">
        <w:trPr>
          <w:trHeight w:val="20"/>
        </w:trPr>
        <w:tc>
          <w:tcPr>
            <w:tcW w:w="1676" w:type="dxa"/>
            <w:vMerge/>
          </w:tcPr>
          <w:p w14:paraId="68D8C8F8" w14:textId="77777777" w:rsidR="00B433ED" w:rsidRPr="003A208C" w:rsidRDefault="00B433ED" w:rsidP="00396021">
            <w:pPr>
              <w:spacing w:after="0"/>
              <w:rPr>
                <w:rFonts w:asciiTheme="majorHAnsi" w:eastAsia="Times New Roman" w:hAnsiTheme="majorHAnsi" w:cs="Times New Roman"/>
                <w:lang w:eastAsia="es-ES"/>
              </w:rPr>
            </w:pPr>
          </w:p>
        </w:tc>
        <w:tc>
          <w:tcPr>
            <w:tcW w:w="2024" w:type="dxa"/>
          </w:tcPr>
          <w:p w14:paraId="5FA2AEC7" w14:textId="161E7FBA" w:rsidR="00B433ED" w:rsidRPr="003A208C" w:rsidRDefault="001F2F4E" w:rsidP="00396021">
            <w:pPr>
              <w:spacing w:after="0"/>
              <w:rPr>
                <w:rFonts w:asciiTheme="majorHAnsi" w:eastAsia="Times New Roman" w:hAnsiTheme="majorHAnsi" w:cs="Times New Roman"/>
                <w:lang w:eastAsia="es-ES"/>
              </w:rPr>
            </w:pPr>
            <w:r w:rsidRPr="003A208C">
              <w:rPr>
                <w:rFonts w:asciiTheme="majorHAnsi" w:hAnsiTheme="majorHAnsi" w:cs="Lucida Grande"/>
                <w:color w:val="000000"/>
              </w:rPr>
              <w:t>Existencia y pertinencia de línea de base.</w:t>
            </w:r>
          </w:p>
        </w:tc>
        <w:tc>
          <w:tcPr>
            <w:tcW w:w="4205" w:type="dxa"/>
          </w:tcPr>
          <w:p w14:paraId="7F17FC94" w14:textId="4ADBBB7A" w:rsidR="00B433ED" w:rsidRPr="003A208C" w:rsidRDefault="000B5F82" w:rsidP="00396021">
            <w:pPr>
              <w:spacing w:after="0"/>
              <w:rPr>
                <w:rFonts w:asciiTheme="majorHAnsi" w:eastAsia="Times New Roman" w:hAnsiTheme="majorHAnsi" w:cs="Times New Roman"/>
                <w:lang w:eastAsia="es-ES"/>
              </w:rPr>
            </w:pPr>
            <w:r w:rsidRPr="003A208C">
              <w:rPr>
                <w:rFonts w:asciiTheme="majorHAnsi" w:hAnsiTheme="majorHAnsi"/>
                <w:color w:val="000000"/>
              </w:rPr>
              <w:t>Todos los indicadores de producto del Marco de Resultados y del Marco de Monitoreo cuentan con su correspondiente y precisa línea de base.</w:t>
            </w:r>
          </w:p>
        </w:tc>
        <w:tc>
          <w:tcPr>
            <w:tcW w:w="6946" w:type="dxa"/>
          </w:tcPr>
          <w:p w14:paraId="5641B65F" w14:textId="55737FE5" w:rsidR="00B433ED" w:rsidRPr="003A208C" w:rsidRDefault="000B5F82" w:rsidP="00396021">
            <w:pPr>
              <w:spacing w:after="0"/>
              <w:rPr>
                <w:rFonts w:asciiTheme="majorHAnsi" w:eastAsia="Times New Roman" w:hAnsiTheme="majorHAnsi" w:cs="Times New Roman"/>
                <w:lang w:eastAsia="es-ES"/>
              </w:rPr>
            </w:pPr>
            <w:r w:rsidRPr="003A208C">
              <w:rPr>
                <w:rFonts w:asciiTheme="majorHAnsi" w:hAnsiTheme="majorHAnsi"/>
                <w:color w:val="000000"/>
              </w:rPr>
              <w:t>No hay observaciones.</w:t>
            </w:r>
          </w:p>
        </w:tc>
      </w:tr>
      <w:tr w:rsidR="00B433ED" w:rsidRPr="003A208C" w14:paraId="736B2924" w14:textId="77777777" w:rsidTr="006654FE">
        <w:trPr>
          <w:trHeight w:val="20"/>
        </w:trPr>
        <w:tc>
          <w:tcPr>
            <w:tcW w:w="1676" w:type="dxa"/>
            <w:vMerge/>
          </w:tcPr>
          <w:p w14:paraId="0092ADB7" w14:textId="77777777" w:rsidR="00B433ED" w:rsidRPr="003A208C" w:rsidRDefault="00B433ED" w:rsidP="00396021">
            <w:pPr>
              <w:spacing w:after="0"/>
              <w:rPr>
                <w:rFonts w:asciiTheme="majorHAnsi" w:eastAsia="Times New Roman" w:hAnsiTheme="majorHAnsi" w:cs="Times New Roman"/>
                <w:lang w:eastAsia="es-ES"/>
              </w:rPr>
            </w:pPr>
          </w:p>
        </w:tc>
        <w:tc>
          <w:tcPr>
            <w:tcW w:w="2024" w:type="dxa"/>
          </w:tcPr>
          <w:p w14:paraId="161EFD9B" w14:textId="0973C5D2" w:rsidR="00B433ED" w:rsidRPr="003A208C" w:rsidRDefault="000B5F82" w:rsidP="00396021">
            <w:pPr>
              <w:spacing w:after="0"/>
              <w:rPr>
                <w:rFonts w:asciiTheme="majorHAnsi" w:eastAsia="Times New Roman" w:hAnsiTheme="majorHAnsi" w:cs="Times New Roman"/>
                <w:lang w:eastAsia="es-ES"/>
              </w:rPr>
            </w:pPr>
            <w:r w:rsidRPr="003A208C">
              <w:rPr>
                <w:rFonts w:asciiTheme="majorHAnsi" w:hAnsiTheme="majorHAnsi"/>
                <w:color w:val="000000"/>
              </w:rPr>
              <w:t>Cuantificación de metas.</w:t>
            </w:r>
          </w:p>
        </w:tc>
        <w:tc>
          <w:tcPr>
            <w:tcW w:w="4205" w:type="dxa"/>
          </w:tcPr>
          <w:p w14:paraId="3DF3D8A9" w14:textId="5B6ECA9E" w:rsidR="00B433ED" w:rsidRPr="003A208C" w:rsidRDefault="000B5F82" w:rsidP="00396021">
            <w:pPr>
              <w:spacing w:after="0"/>
              <w:rPr>
                <w:rFonts w:asciiTheme="majorHAnsi" w:eastAsia="Times New Roman" w:hAnsiTheme="majorHAnsi" w:cs="Times New Roman"/>
                <w:lang w:eastAsia="es-ES"/>
              </w:rPr>
            </w:pPr>
            <w:r w:rsidRPr="003A208C">
              <w:rPr>
                <w:rFonts w:asciiTheme="majorHAnsi" w:hAnsiTheme="majorHAnsi"/>
                <w:color w:val="000000"/>
              </w:rPr>
              <w:t>Todas las metas incluidas en el Marco de Resultados están claramente cuantificadas. Debido a la envergadura de algunas de ellas (Indicador 1.3.1), los Informes Trimestrales serán un insumo fundamental para poder acompañar el desarrollo y evolución de las actividades. Las metas anuales deben ser acumulativas con respecto a años previos. En este sentido, deberían corregirse las metas de los Indicadores 1 y 2 de la Actividad 2 en el Marco de Monitoreo.</w:t>
            </w:r>
          </w:p>
        </w:tc>
        <w:tc>
          <w:tcPr>
            <w:tcW w:w="6946" w:type="dxa"/>
          </w:tcPr>
          <w:p w14:paraId="4ECB96F6" w14:textId="750033E5" w:rsidR="00B433ED" w:rsidRPr="003A208C" w:rsidRDefault="000B5F82" w:rsidP="00396021">
            <w:pPr>
              <w:spacing w:after="0"/>
              <w:rPr>
                <w:rFonts w:asciiTheme="majorHAnsi" w:eastAsia="Times New Roman" w:hAnsiTheme="majorHAnsi" w:cs="Times New Roman"/>
                <w:lang w:eastAsia="es-ES"/>
              </w:rPr>
            </w:pPr>
            <w:r w:rsidRPr="003A208C">
              <w:rPr>
                <w:rFonts w:asciiTheme="majorHAnsi" w:hAnsiTheme="majorHAnsi"/>
                <w:color w:val="000000"/>
              </w:rPr>
              <w:t>Garantizar flujos de comunicación fluidos con las áreas requirentes que detenten la información necesaria para reportar sobre el avance en los indicadores. Corregir las metas de los indicadores 1 y 2 de la Actividad 2 en el Marco de Monitoreo.</w:t>
            </w:r>
          </w:p>
        </w:tc>
      </w:tr>
      <w:tr w:rsidR="00B433ED" w:rsidRPr="003A208C" w14:paraId="7AFAA918" w14:textId="77777777" w:rsidTr="006654FE">
        <w:trPr>
          <w:trHeight w:val="20"/>
        </w:trPr>
        <w:tc>
          <w:tcPr>
            <w:tcW w:w="1676" w:type="dxa"/>
            <w:vMerge/>
          </w:tcPr>
          <w:p w14:paraId="711638BF" w14:textId="77777777" w:rsidR="00B433ED" w:rsidRPr="003A208C" w:rsidRDefault="00B433ED" w:rsidP="00396021">
            <w:pPr>
              <w:spacing w:after="0"/>
              <w:rPr>
                <w:rFonts w:asciiTheme="majorHAnsi" w:eastAsia="Times New Roman" w:hAnsiTheme="majorHAnsi" w:cs="Times New Roman"/>
                <w:lang w:eastAsia="es-ES"/>
              </w:rPr>
            </w:pPr>
          </w:p>
        </w:tc>
        <w:tc>
          <w:tcPr>
            <w:tcW w:w="2024" w:type="dxa"/>
          </w:tcPr>
          <w:p w14:paraId="7C8BDC29" w14:textId="0CB69A4D" w:rsidR="00B433ED" w:rsidRPr="003A208C" w:rsidRDefault="00400143" w:rsidP="00396021">
            <w:pPr>
              <w:spacing w:after="0"/>
              <w:rPr>
                <w:rFonts w:asciiTheme="majorHAnsi" w:eastAsia="Times New Roman" w:hAnsiTheme="majorHAnsi" w:cs="Times New Roman"/>
                <w:lang w:eastAsia="es-ES"/>
              </w:rPr>
            </w:pPr>
            <w:r w:rsidRPr="003A208C">
              <w:rPr>
                <w:rFonts w:asciiTheme="majorHAnsi" w:hAnsiTheme="majorHAnsi"/>
                <w:color w:val="000000"/>
              </w:rPr>
              <w:t>Pertinencia y calidad del sistema de información y monitoreo, y del plan de comunicaciones (sistema de control interno).</w:t>
            </w:r>
          </w:p>
        </w:tc>
        <w:tc>
          <w:tcPr>
            <w:tcW w:w="4205" w:type="dxa"/>
          </w:tcPr>
          <w:p w14:paraId="1C8A1CF0" w14:textId="163CD0DB" w:rsidR="00B433ED" w:rsidRPr="003A208C" w:rsidRDefault="00400143" w:rsidP="00396021">
            <w:pPr>
              <w:spacing w:after="0"/>
              <w:rPr>
                <w:rFonts w:asciiTheme="majorHAnsi" w:eastAsia="Times New Roman" w:hAnsiTheme="majorHAnsi" w:cs="Times New Roman"/>
                <w:lang w:eastAsia="es-ES"/>
              </w:rPr>
            </w:pPr>
            <w:r w:rsidRPr="003A208C">
              <w:rPr>
                <w:rFonts w:asciiTheme="majorHAnsi" w:hAnsiTheme="majorHAnsi"/>
                <w:color w:val="000000"/>
              </w:rPr>
              <w:t>El sistema de monitoreo y la frecuencia planteada (trimestral) es adecuado. El proyecto prevé la realización de una Evaluación de medio término y una Evaluación final con su correspondiente presupuesto asignado. Como sistema de control interno se utilizará el GDE para lo cual ya se han desarrollado instructivos específicos y establecido las responsabilidades requeridas.</w:t>
            </w:r>
          </w:p>
        </w:tc>
        <w:tc>
          <w:tcPr>
            <w:tcW w:w="6946" w:type="dxa"/>
          </w:tcPr>
          <w:p w14:paraId="7984E964" w14:textId="755C9968" w:rsidR="00B433ED" w:rsidRPr="003A208C" w:rsidRDefault="00400143" w:rsidP="00396021">
            <w:pPr>
              <w:spacing w:after="0"/>
              <w:rPr>
                <w:rFonts w:asciiTheme="majorHAnsi" w:eastAsia="Times New Roman" w:hAnsiTheme="majorHAnsi" w:cs="Times New Roman"/>
                <w:lang w:eastAsia="es-ES"/>
              </w:rPr>
            </w:pPr>
            <w:r w:rsidRPr="003A208C">
              <w:rPr>
                <w:rFonts w:asciiTheme="majorHAnsi" w:hAnsiTheme="majorHAnsi"/>
                <w:color w:val="000000"/>
              </w:rPr>
              <w:t>De ser posible, incorporar indicadores de impacto sobre la inclusión de poblaciones. Es decir, si a partir de la utilización de los sistemas se podrá contar con información más desagregada acerca del alcance y de las personas que acceden a los mismos, desagregada por sexo, edad y otras interseccionalidades. A su vez, y como insumo para el seguimiento del proyecto y las evaluaciones de medio término y cierre, para las actividades previstas tendientes a mejorar la relación Estado-ciudadanía y promover la inclusión digital (desarrollo de apps, sistema de telemedicina, otorgamiento de becas FormAr), se sugiere considerar la posibilidad de realizar encuestas de satisfacción de las y los usuarios de los sistemas, con el fin de conocer sus necesidades, sugerencias y opiniones respecto de los servicios brindados para, de ser necesario, corregir el abordaje y adecuación de las aplicaciones.</w:t>
            </w:r>
          </w:p>
        </w:tc>
      </w:tr>
      <w:tr w:rsidR="00B433ED" w:rsidRPr="003A208C" w14:paraId="1A5E7F8F" w14:textId="77777777" w:rsidTr="006654FE">
        <w:trPr>
          <w:trHeight w:val="20"/>
        </w:trPr>
        <w:tc>
          <w:tcPr>
            <w:tcW w:w="1676" w:type="dxa"/>
            <w:vMerge/>
          </w:tcPr>
          <w:p w14:paraId="7D360303" w14:textId="77777777" w:rsidR="00B433ED" w:rsidRPr="003A208C" w:rsidRDefault="00B433ED" w:rsidP="00396021">
            <w:pPr>
              <w:spacing w:after="0"/>
              <w:rPr>
                <w:rFonts w:asciiTheme="majorHAnsi" w:eastAsia="Times New Roman" w:hAnsiTheme="majorHAnsi" w:cs="Times New Roman"/>
                <w:lang w:eastAsia="es-ES"/>
              </w:rPr>
            </w:pPr>
          </w:p>
        </w:tc>
        <w:tc>
          <w:tcPr>
            <w:tcW w:w="2024" w:type="dxa"/>
          </w:tcPr>
          <w:p w14:paraId="1C1E8FB1" w14:textId="2461559D" w:rsidR="00B433ED" w:rsidRPr="003A208C" w:rsidRDefault="00400143" w:rsidP="00396021">
            <w:pPr>
              <w:spacing w:after="0"/>
              <w:rPr>
                <w:rFonts w:asciiTheme="majorHAnsi" w:eastAsia="Times New Roman" w:hAnsiTheme="majorHAnsi" w:cs="Times New Roman"/>
                <w:lang w:eastAsia="es-ES"/>
              </w:rPr>
            </w:pPr>
            <w:r w:rsidRPr="003A208C">
              <w:rPr>
                <w:rFonts w:asciiTheme="majorHAnsi" w:hAnsiTheme="majorHAnsi" w:cs="Lucida Grande"/>
                <w:color w:val="000000"/>
              </w:rPr>
              <w:t>Correspondencia entre el monto global del presupuesto y los objetivos, actividades y beneficiarios propuestos.</w:t>
            </w:r>
          </w:p>
        </w:tc>
        <w:tc>
          <w:tcPr>
            <w:tcW w:w="4205" w:type="dxa"/>
          </w:tcPr>
          <w:p w14:paraId="5B7B27AE" w14:textId="406362F2" w:rsidR="00B433ED" w:rsidRPr="003A208C" w:rsidRDefault="00400143" w:rsidP="00396021">
            <w:pPr>
              <w:spacing w:after="0"/>
              <w:rPr>
                <w:rFonts w:asciiTheme="majorHAnsi" w:eastAsia="Times New Roman" w:hAnsiTheme="majorHAnsi" w:cs="Times New Roman"/>
                <w:lang w:eastAsia="es-ES"/>
              </w:rPr>
            </w:pPr>
            <w:r w:rsidRPr="003A208C">
              <w:rPr>
                <w:rFonts w:asciiTheme="majorHAnsi" w:hAnsiTheme="majorHAnsi"/>
                <w:color w:val="000000"/>
              </w:rPr>
              <w:t>El análisis presupuestario indica que el mismo es adecuado para lograr los objetivos y actividades propuestas. Se prevé que el 68% del total del presupuesto sea destinado a adquisiciones y compras de equipamiento, incluyendo la adquisición del Sorter para el Correo Argentino (60% del total del presupuesto del proyecto). Los Servicios contractuales representan el 17%, la contratación de consultores el 9%, renta y mantenimiento y locación de inmueble un 2%. El resto se compone de gastos misceláneos, capacitaciones, evaluaciones de medio término y final y gastos de auditoría.</w:t>
            </w:r>
          </w:p>
        </w:tc>
        <w:tc>
          <w:tcPr>
            <w:tcW w:w="6946" w:type="dxa"/>
          </w:tcPr>
          <w:p w14:paraId="1EAE28C3" w14:textId="615E3397" w:rsidR="00B433ED" w:rsidRPr="003A208C" w:rsidRDefault="00400143" w:rsidP="00396021">
            <w:pPr>
              <w:spacing w:after="0"/>
              <w:rPr>
                <w:rFonts w:asciiTheme="majorHAnsi" w:eastAsia="Times New Roman" w:hAnsiTheme="majorHAnsi" w:cs="Times New Roman"/>
                <w:lang w:eastAsia="es-ES"/>
              </w:rPr>
            </w:pPr>
            <w:r w:rsidRPr="003A208C">
              <w:rPr>
                <w:rFonts w:asciiTheme="majorHAnsi" w:hAnsiTheme="majorHAnsi"/>
                <w:color w:val="000000"/>
              </w:rPr>
              <w:t>No hay recomendaciones.</w:t>
            </w:r>
          </w:p>
        </w:tc>
      </w:tr>
      <w:tr w:rsidR="00B433ED" w:rsidRPr="003A208C" w14:paraId="303253F6" w14:textId="77777777" w:rsidTr="006654FE">
        <w:trPr>
          <w:trHeight w:val="20"/>
        </w:trPr>
        <w:tc>
          <w:tcPr>
            <w:tcW w:w="1676" w:type="dxa"/>
            <w:vMerge/>
          </w:tcPr>
          <w:p w14:paraId="365045B3" w14:textId="77777777" w:rsidR="00B433ED" w:rsidRPr="003A208C" w:rsidRDefault="00B433ED" w:rsidP="00396021">
            <w:pPr>
              <w:spacing w:after="0"/>
              <w:rPr>
                <w:rFonts w:asciiTheme="majorHAnsi" w:eastAsia="Times New Roman" w:hAnsiTheme="majorHAnsi" w:cs="Times New Roman"/>
                <w:lang w:eastAsia="es-ES"/>
              </w:rPr>
            </w:pPr>
          </w:p>
        </w:tc>
        <w:tc>
          <w:tcPr>
            <w:tcW w:w="2024" w:type="dxa"/>
          </w:tcPr>
          <w:p w14:paraId="408EB912" w14:textId="3D08850D" w:rsidR="00B433ED" w:rsidRPr="003A208C" w:rsidRDefault="00400143" w:rsidP="00396021">
            <w:pPr>
              <w:spacing w:after="0"/>
              <w:rPr>
                <w:rFonts w:asciiTheme="majorHAnsi" w:eastAsia="Times New Roman" w:hAnsiTheme="majorHAnsi" w:cs="Times New Roman"/>
                <w:lang w:eastAsia="es-ES"/>
              </w:rPr>
            </w:pPr>
            <w:r w:rsidRPr="003A208C">
              <w:rPr>
                <w:rFonts w:asciiTheme="majorHAnsi" w:hAnsiTheme="majorHAnsi" w:cs="Lucida Grande"/>
                <w:color w:val="000000"/>
              </w:rPr>
              <w:t>Complejidad del proyecto.</w:t>
            </w:r>
          </w:p>
        </w:tc>
        <w:tc>
          <w:tcPr>
            <w:tcW w:w="4205" w:type="dxa"/>
          </w:tcPr>
          <w:p w14:paraId="479670B1" w14:textId="77777777" w:rsidR="00400143" w:rsidRPr="003A208C" w:rsidRDefault="00400143" w:rsidP="00400143">
            <w:pPr>
              <w:spacing w:after="0"/>
              <w:jc w:val="left"/>
              <w:rPr>
                <w:rFonts w:asciiTheme="majorHAnsi" w:eastAsiaTheme="minorEastAsia" w:hAnsiTheme="majorHAnsi" w:cstheme="minorBidi"/>
                <w:color w:val="000000"/>
                <w:lang w:eastAsia="es-ES"/>
              </w:rPr>
            </w:pPr>
            <w:r w:rsidRPr="003A208C">
              <w:rPr>
                <w:rFonts w:asciiTheme="majorHAnsi" w:eastAsiaTheme="minorEastAsia" w:hAnsiTheme="majorHAnsi" w:cstheme="minorBidi"/>
                <w:color w:val="000000"/>
                <w:lang w:eastAsia="es-ES"/>
              </w:rPr>
              <w:t xml:space="preserve">El proyecto tiene una complejidad de nivel medio por dos motivos principales. 1. Se llevará a cabo una gran cantidad de procesos de adquisiciones de diversa índole y magnitud, que representan un 68% de los recursos. Particularmente, incluye un proceso de gran envergadura (adquisición de una clasificadora automática de paquetes (SORTER) en el marco de la Actividad 1, que implica un 60% del presupuesto total. Este último proceso se había planificado e iniciado en el proyecto ARG/12/012. La envergadura y la necesidad de avanzar lo más rápidamente posible en él pueden traer aparejado el riesgo de incumplir con los plazos requeridos por los procesos definidos en la normativa del PNUD.   </w:t>
            </w:r>
          </w:p>
          <w:p w14:paraId="3E5EC799" w14:textId="716E068C" w:rsidR="00B433ED" w:rsidRPr="003A208C" w:rsidRDefault="00400143" w:rsidP="00400143">
            <w:pPr>
              <w:spacing w:after="0"/>
              <w:rPr>
                <w:rFonts w:asciiTheme="majorHAnsi" w:eastAsia="Times New Roman" w:hAnsiTheme="majorHAnsi" w:cs="Times New Roman"/>
                <w:lang w:eastAsia="es-ES"/>
              </w:rPr>
            </w:pPr>
            <w:r w:rsidRPr="003A208C">
              <w:rPr>
                <w:rFonts w:asciiTheme="majorHAnsi" w:eastAsiaTheme="minorEastAsia" w:hAnsiTheme="majorHAnsi" w:cstheme="minorBidi"/>
                <w:color w:val="000000"/>
                <w:lang w:eastAsia="es-ES"/>
              </w:rPr>
              <w:t>2. Por la naturaleza del proyecto, las áreas requirentes involucradas son numerosas, lo cual implica impulsar una articulación eficiente con las áreas técnicas correspondientes, a fin de obtener información y avanzar en las actividades e implementación del proyecto. Esto puede generar el riesgo de producir demoras en la planificación y ejecución de actividades, ya sea por la necesidad de recibir verificaciones técnicas y autorizaciones de especificaciones, o por obtener información respecto de los indicadores y avance en las actividades que de ellas dependan. El riesgo fue detectado en el proyecto anterior (ARG/12/012) constituyendo una lección aprendida a tener en cuenta.</w:t>
            </w:r>
          </w:p>
        </w:tc>
        <w:tc>
          <w:tcPr>
            <w:tcW w:w="6946" w:type="dxa"/>
          </w:tcPr>
          <w:p w14:paraId="6B4D3DA3" w14:textId="77777777" w:rsidR="00B433ED" w:rsidRPr="003A208C" w:rsidRDefault="00400143" w:rsidP="00396021">
            <w:pPr>
              <w:spacing w:after="0"/>
              <w:rPr>
                <w:rFonts w:asciiTheme="majorHAnsi" w:hAnsiTheme="majorHAnsi"/>
                <w:color w:val="000000"/>
              </w:rPr>
            </w:pPr>
            <w:r w:rsidRPr="003A208C">
              <w:rPr>
                <w:rFonts w:asciiTheme="majorHAnsi" w:hAnsiTheme="majorHAnsi"/>
                <w:color w:val="000000"/>
              </w:rPr>
              <w:t>Si bien la UE cuenta con experiencia previa de implementación y gestión de proyectos PNUD, dada la envergadura del proceso y la necesidad de avanzar rápidamente respetando la normativa PNUD (tiempos y procesos), se sugiere que la UE se apoye fuertemente en el acompañamiento y la asistencia técnica del área de adquisiciones del PNUD y la Cancillería en el diseño y ejecución de los procesos de adquisiciones, asi como en el seguimiento de la normativa aplicable. Asimismo, para lograr el adecuado cumplimiento de las actividades previstas, y dada la gran cantidad de actores requirentes involucrados, será necesario un fuerte rol de articulación y coordinación por parte de la UE para garantizar que los flujos de comunicación e información, verificación y validación de especificaciones técnicas sean eficientes y no pongan en riesgo la planificación y los plazos de ejecución previstos. Para ello, la selección de los profesionales que conformen la UE y las capacitaciones previstas resultan claves.</w:t>
            </w:r>
          </w:p>
          <w:p w14:paraId="0D42765A" w14:textId="77777777" w:rsidR="00F77A5C" w:rsidRPr="003A208C" w:rsidRDefault="00F77A5C" w:rsidP="00396021">
            <w:pPr>
              <w:spacing w:after="0"/>
              <w:rPr>
                <w:rFonts w:asciiTheme="majorHAnsi" w:hAnsiTheme="majorHAnsi"/>
                <w:color w:val="000000"/>
              </w:rPr>
            </w:pPr>
          </w:p>
          <w:p w14:paraId="716418D1" w14:textId="10D5C218" w:rsidR="00CA5315" w:rsidRPr="003A208C" w:rsidRDefault="00F77A5C" w:rsidP="00CA5315">
            <w:pPr>
              <w:widowControl w:val="0"/>
              <w:autoSpaceDE w:val="0"/>
              <w:autoSpaceDN w:val="0"/>
              <w:adjustRightInd w:val="0"/>
              <w:spacing w:after="240"/>
              <w:rPr>
                <w:rFonts w:asciiTheme="majorHAnsi" w:eastAsiaTheme="minorEastAsia" w:hAnsiTheme="majorHAnsi" w:cs="Times New Roman"/>
                <w:bCs/>
                <w:color w:val="000000"/>
                <w:lang w:eastAsia="es-ES"/>
              </w:rPr>
            </w:pPr>
            <w:r w:rsidRPr="003A208C">
              <w:rPr>
                <w:rFonts w:asciiTheme="majorHAnsi" w:hAnsiTheme="majorHAnsi"/>
                <w:color w:val="000000"/>
              </w:rPr>
              <w:t>La experiencia obtenida durante la implementación del proyecto ARG/12/012 ha sido considerada durante el diseño del proyecto (por ejemplo, en la selección de indicadores y sistemas de comunicación interna</w:t>
            </w:r>
            <w:r w:rsidR="004E1DBA" w:rsidRPr="003A208C">
              <w:rPr>
                <w:rFonts w:asciiTheme="majorHAnsi" w:hAnsiTheme="majorHAnsi"/>
                <w:color w:val="000000"/>
              </w:rPr>
              <w:t>,  una actividad específica de seguimiento y monitoreo del proyecto</w:t>
            </w:r>
            <w:r w:rsidRPr="003A208C">
              <w:rPr>
                <w:rFonts w:asciiTheme="majorHAnsi" w:hAnsiTheme="majorHAnsi"/>
                <w:color w:val="000000"/>
              </w:rPr>
              <w:t xml:space="preserve">) y </w:t>
            </w:r>
            <w:r w:rsidR="004E1DBA" w:rsidRPr="003A208C">
              <w:rPr>
                <w:rFonts w:asciiTheme="majorHAnsi" w:hAnsiTheme="majorHAnsi"/>
                <w:color w:val="000000"/>
              </w:rPr>
              <w:t>para la implementación del mismo (</w:t>
            </w:r>
            <w:r w:rsidR="00257AD8" w:rsidRPr="003A208C">
              <w:rPr>
                <w:rFonts w:asciiTheme="majorHAnsi" w:hAnsiTheme="majorHAnsi"/>
                <w:color w:val="000000"/>
              </w:rPr>
              <w:t xml:space="preserve">capacitaciones periódicas, </w:t>
            </w:r>
            <w:r w:rsidR="004E1DBA" w:rsidRPr="003A208C">
              <w:rPr>
                <w:rFonts w:asciiTheme="majorHAnsi" w:hAnsiTheme="majorHAnsi"/>
                <w:color w:val="000000"/>
              </w:rPr>
              <w:t>elaboración de instructivos, manual de procedimientos, entre otras).</w:t>
            </w:r>
            <w:r w:rsidR="00CA5315" w:rsidRPr="003A208C">
              <w:rPr>
                <w:rFonts w:asciiTheme="majorHAnsi" w:hAnsiTheme="majorHAnsi"/>
                <w:color w:val="000000"/>
              </w:rPr>
              <w:t xml:space="preserve"> No obstante, se sugiere </w:t>
            </w:r>
            <w:r w:rsidR="00CA5315" w:rsidRPr="003A208C">
              <w:rPr>
                <w:rFonts w:asciiTheme="majorHAnsi" w:eastAsiaTheme="minorEastAsia" w:hAnsiTheme="majorHAnsi" w:cs="Times New Roman"/>
                <w:bCs/>
                <w:color w:val="000000"/>
                <w:lang w:eastAsia="es-ES"/>
              </w:rPr>
              <w:t>realizar un seguimiento estrecho del cumplimiento de los tiempos definidos para cada uno de los procesos de adquisiciones, particularmente los de mayor envergadura.</w:t>
            </w:r>
          </w:p>
          <w:p w14:paraId="551C0D2D" w14:textId="1F328D51" w:rsidR="00F77A5C" w:rsidRPr="003A208C" w:rsidRDefault="00F77A5C" w:rsidP="004E1DBA">
            <w:pPr>
              <w:spacing w:after="0"/>
              <w:rPr>
                <w:rFonts w:asciiTheme="majorHAnsi" w:eastAsia="Times New Roman" w:hAnsiTheme="majorHAnsi" w:cs="Times New Roman"/>
                <w:lang w:eastAsia="es-ES"/>
              </w:rPr>
            </w:pPr>
          </w:p>
        </w:tc>
      </w:tr>
      <w:tr w:rsidR="00B433ED" w:rsidRPr="003A208C" w14:paraId="44F809FB" w14:textId="77777777" w:rsidTr="006654FE">
        <w:trPr>
          <w:trHeight w:val="20"/>
        </w:trPr>
        <w:tc>
          <w:tcPr>
            <w:tcW w:w="1676" w:type="dxa"/>
            <w:vMerge/>
          </w:tcPr>
          <w:p w14:paraId="15CBCB54" w14:textId="77777777" w:rsidR="00B433ED" w:rsidRPr="003A208C" w:rsidRDefault="00B433ED" w:rsidP="00396021">
            <w:pPr>
              <w:spacing w:after="0"/>
              <w:rPr>
                <w:rFonts w:asciiTheme="majorHAnsi" w:eastAsia="Times New Roman" w:hAnsiTheme="majorHAnsi" w:cs="Times New Roman"/>
                <w:lang w:eastAsia="es-ES"/>
              </w:rPr>
            </w:pPr>
          </w:p>
        </w:tc>
        <w:tc>
          <w:tcPr>
            <w:tcW w:w="2024" w:type="dxa"/>
          </w:tcPr>
          <w:p w14:paraId="46440984" w14:textId="647B04C7" w:rsidR="00B433ED" w:rsidRPr="003A208C" w:rsidRDefault="001B6335" w:rsidP="00396021">
            <w:pPr>
              <w:spacing w:after="0"/>
              <w:rPr>
                <w:rFonts w:asciiTheme="majorHAnsi" w:eastAsia="Times New Roman" w:hAnsiTheme="majorHAnsi" w:cs="Times New Roman"/>
                <w:lang w:eastAsia="es-ES"/>
              </w:rPr>
            </w:pPr>
            <w:r w:rsidRPr="003A208C">
              <w:rPr>
                <w:rFonts w:asciiTheme="majorHAnsi" w:hAnsiTheme="majorHAnsi"/>
                <w:color w:val="000000"/>
              </w:rPr>
              <w:t>Previsión (programación y asignación de recursos) de transferencia de capacidades a la estructura regular durante todo el ciclo de vida del proyecto.</w:t>
            </w:r>
          </w:p>
        </w:tc>
        <w:tc>
          <w:tcPr>
            <w:tcW w:w="4205" w:type="dxa"/>
          </w:tcPr>
          <w:p w14:paraId="3B2DE90A" w14:textId="2608CC2F" w:rsidR="00B433ED" w:rsidRPr="003A208C" w:rsidRDefault="00B04754" w:rsidP="00396021">
            <w:pPr>
              <w:spacing w:after="0"/>
              <w:rPr>
                <w:rFonts w:asciiTheme="majorHAnsi" w:eastAsia="Times New Roman" w:hAnsiTheme="majorHAnsi" w:cs="Times New Roman"/>
                <w:lang w:eastAsia="es-ES"/>
              </w:rPr>
            </w:pPr>
            <w:r w:rsidRPr="003A208C">
              <w:rPr>
                <w:rFonts w:asciiTheme="majorHAnsi" w:hAnsiTheme="majorHAnsi"/>
                <w:color w:val="000000"/>
              </w:rPr>
              <w:t>El proyecto prevé la capacitación de personal en las diversas actividades planteadas, la elaboración de un Manual de Procedimientos interno, y la transferencia de las licencias adquiridas a la estructura de la SIP y de la JGM.</w:t>
            </w:r>
          </w:p>
        </w:tc>
        <w:tc>
          <w:tcPr>
            <w:tcW w:w="6946" w:type="dxa"/>
          </w:tcPr>
          <w:p w14:paraId="6B520789" w14:textId="45B6D5A0" w:rsidR="00B433ED" w:rsidRPr="003A208C" w:rsidRDefault="00B04754" w:rsidP="00396021">
            <w:pPr>
              <w:spacing w:after="0"/>
              <w:rPr>
                <w:rFonts w:asciiTheme="majorHAnsi" w:eastAsia="Times New Roman" w:hAnsiTheme="majorHAnsi" w:cs="Times New Roman"/>
                <w:lang w:eastAsia="es-ES"/>
              </w:rPr>
            </w:pPr>
            <w:r w:rsidRPr="003A208C">
              <w:rPr>
                <w:rFonts w:asciiTheme="majorHAnsi" w:hAnsiTheme="majorHAnsi"/>
                <w:color w:val="000000"/>
              </w:rPr>
              <w:t>No hay recomendaciones.</w:t>
            </w:r>
          </w:p>
        </w:tc>
      </w:tr>
      <w:tr w:rsidR="00B433ED" w:rsidRPr="003A208C" w14:paraId="76738FC5" w14:textId="77777777" w:rsidTr="006654FE">
        <w:trPr>
          <w:trHeight w:val="20"/>
        </w:trPr>
        <w:tc>
          <w:tcPr>
            <w:tcW w:w="1676" w:type="dxa"/>
            <w:vMerge/>
          </w:tcPr>
          <w:p w14:paraId="7AA3BBB8" w14:textId="77777777" w:rsidR="00B433ED" w:rsidRPr="003A208C" w:rsidRDefault="00B433ED" w:rsidP="00396021">
            <w:pPr>
              <w:spacing w:after="0"/>
              <w:rPr>
                <w:rFonts w:asciiTheme="majorHAnsi" w:eastAsia="Times New Roman" w:hAnsiTheme="majorHAnsi" w:cs="Times New Roman"/>
                <w:lang w:eastAsia="es-ES"/>
              </w:rPr>
            </w:pPr>
          </w:p>
        </w:tc>
        <w:tc>
          <w:tcPr>
            <w:tcW w:w="2024" w:type="dxa"/>
          </w:tcPr>
          <w:p w14:paraId="7665845E" w14:textId="216DAA2E" w:rsidR="00B433ED" w:rsidRPr="003A208C" w:rsidRDefault="00B04754" w:rsidP="00396021">
            <w:pPr>
              <w:spacing w:after="0"/>
              <w:rPr>
                <w:rFonts w:asciiTheme="majorHAnsi" w:eastAsia="Times New Roman" w:hAnsiTheme="majorHAnsi" w:cs="Times New Roman"/>
                <w:lang w:eastAsia="es-ES"/>
              </w:rPr>
            </w:pPr>
            <w:r w:rsidRPr="003A208C">
              <w:rPr>
                <w:rFonts w:asciiTheme="majorHAnsi" w:hAnsiTheme="majorHAnsi" w:cs="Lucida Grande"/>
                <w:color w:val="000000"/>
              </w:rPr>
              <w:t>Previsión de incorporación de los recursos humanos del proyecto a la estructura regular, que fueran necesarios para la continuidad de los procesos desarrollados.</w:t>
            </w:r>
          </w:p>
        </w:tc>
        <w:tc>
          <w:tcPr>
            <w:tcW w:w="4205" w:type="dxa"/>
          </w:tcPr>
          <w:p w14:paraId="2F93F42C" w14:textId="7A27F3D8" w:rsidR="00B433ED" w:rsidRPr="003A208C" w:rsidRDefault="00B04754" w:rsidP="00396021">
            <w:pPr>
              <w:spacing w:after="0"/>
              <w:rPr>
                <w:rFonts w:asciiTheme="majorHAnsi" w:eastAsia="Times New Roman" w:hAnsiTheme="majorHAnsi" w:cs="Times New Roman"/>
                <w:lang w:eastAsia="es-ES"/>
              </w:rPr>
            </w:pPr>
            <w:r w:rsidRPr="003A208C">
              <w:rPr>
                <w:rFonts w:asciiTheme="majorHAnsi" w:hAnsiTheme="majorHAnsi"/>
                <w:color w:val="000000"/>
              </w:rPr>
              <w:t>Resulta un desafío prever cómo se podrían incorporar los recursos humanos contratados por el proyecto a la estructura regular una vez que finalice el proyecto debido a que, por lo general, los perfiles de los consultores suelen encontrarse en un mercado laboral donde los salarios exceden las posibilidades de financiamiento de la SIP.</w:t>
            </w:r>
          </w:p>
        </w:tc>
        <w:tc>
          <w:tcPr>
            <w:tcW w:w="6946" w:type="dxa"/>
          </w:tcPr>
          <w:p w14:paraId="5A0B16B9" w14:textId="6350E3DC" w:rsidR="00B433ED" w:rsidRPr="003A208C" w:rsidRDefault="00B04754" w:rsidP="00396021">
            <w:pPr>
              <w:spacing w:after="0"/>
              <w:rPr>
                <w:rFonts w:asciiTheme="majorHAnsi" w:eastAsia="Times New Roman" w:hAnsiTheme="majorHAnsi" w:cs="Times New Roman"/>
                <w:lang w:eastAsia="es-ES"/>
              </w:rPr>
            </w:pPr>
            <w:r w:rsidRPr="003A208C">
              <w:rPr>
                <w:rFonts w:asciiTheme="majorHAnsi" w:hAnsiTheme="majorHAnsi"/>
                <w:color w:val="000000"/>
              </w:rPr>
              <w:t>El proyecto prevé una duración de 3 años, a lo largo de los cuales puede analizarse y definirse una estrategia que permita la contratación de dichos profesionales en el marco de la estructura regular de la SIP/JGM, con alternativas que resulten competitivas y superadoras de las actuales.</w:t>
            </w:r>
          </w:p>
        </w:tc>
      </w:tr>
    </w:tbl>
    <w:p w14:paraId="45C10959" w14:textId="1B70A30B" w:rsidR="0002506B" w:rsidRPr="003A208C" w:rsidRDefault="00396021" w:rsidP="00D41C25">
      <w:pPr>
        <w:spacing w:after="0"/>
        <w:rPr>
          <w:rFonts w:asciiTheme="majorHAnsi" w:eastAsia="Times New Roman" w:hAnsiTheme="majorHAnsi" w:cs="Times New Roman"/>
          <w:lang w:eastAsia="es-ES"/>
        </w:rPr>
      </w:pPr>
      <w:r w:rsidRPr="003A208C">
        <w:rPr>
          <w:rFonts w:asciiTheme="majorHAnsi" w:eastAsia="Times New Roman" w:hAnsiTheme="majorHAnsi" w:cs="Times New Roman"/>
          <w:lang w:eastAsia="es-ES"/>
        </w:rPr>
        <w:br w:type="textWrapping" w:clear="all"/>
      </w:r>
    </w:p>
    <w:p w14:paraId="522DB3DC" w14:textId="77777777" w:rsidR="00AB5E92" w:rsidRPr="003A208C" w:rsidRDefault="00AB5E92" w:rsidP="00A12D52">
      <w:pPr>
        <w:rPr>
          <w:rFonts w:asciiTheme="majorHAnsi" w:eastAsia="Calibri" w:hAnsiTheme="majorHAnsi"/>
        </w:rPr>
      </w:pPr>
    </w:p>
    <w:p w14:paraId="333FBD3E" w14:textId="77777777" w:rsidR="00B0123E" w:rsidRPr="003A208C" w:rsidRDefault="00B0123E" w:rsidP="00A12D52">
      <w:pPr>
        <w:rPr>
          <w:rFonts w:asciiTheme="majorHAnsi" w:eastAsia="Calibri" w:hAnsiTheme="majorHAnsi"/>
        </w:rPr>
        <w:sectPr w:rsidR="00B0123E" w:rsidRPr="003A208C" w:rsidSect="00D41C25">
          <w:pgSz w:w="16840" w:h="11900" w:orient="landscape"/>
          <w:pgMar w:top="1701" w:right="1417" w:bottom="1701" w:left="1417" w:header="708" w:footer="708" w:gutter="0"/>
          <w:cols w:space="708"/>
          <w:docGrid w:linePitch="360"/>
        </w:sectPr>
      </w:pPr>
    </w:p>
    <w:p w14:paraId="0BEED88D" w14:textId="7B597DE5" w:rsidR="00E1660D" w:rsidRPr="003A208C" w:rsidRDefault="00E1660D" w:rsidP="00A12D52">
      <w:pPr>
        <w:rPr>
          <w:rFonts w:asciiTheme="majorHAnsi" w:eastAsia="Calibri" w:hAnsiTheme="majorHAnsi"/>
        </w:rPr>
      </w:pPr>
    </w:p>
    <w:p w14:paraId="084C0EE5" w14:textId="7AABA74B" w:rsidR="00B0123E" w:rsidRPr="003A208C" w:rsidRDefault="00B0123E" w:rsidP="00B0123E">
      <w:pPr>
        <w:pStyle w:val="Prrafodelista"/>
        <w:numPr>
          <w:ilvl w:val="0"/>
          <w:numId w:val="1"/>
        </w:numPr>
        <w:spacing w:after="160" w:line="259" w:lineRule="auto"/>
        <w:rPr>
          <w:rFonts w:asciiTheme="majorHAnsi" w:hAnsiTheme="majorHAnsi"/>
          <w:b/>
        </w:rPr>
      </w:pPr>
      <w:r w:rsidRPr="003A208C">
        <w:rPr>
          <w:rFonts w:asciiTheme="majorHAnsi" w:hAnsiTheme="majorHAnsi"/>
          <w:b/>
        </w:rPr>
        <w:t>Descripción de los riesgos identificados y medidas de mitigación.</w:t>
      </w:r>
    </w:p>
    <w:p w14:paraId="11A66662" w14:textId="77777777" w:rsidR="00B0123E" w:rsidRPr="003A208C" w:rsidRDefault="00B0123E" w:rsidP="00B0123E">
      <w:pPr>
        <w:rPr>
          <w:rFonts w:asciiTheme="majorHAnsi" w:hAnsiTheme="majorHAnsi"/>
        </w:rPr>
      </w:pPr>
    </w:p>
    <w:p w14:paraId="6C8223DF" w14:textId="77777777" w:rsidR="00B932B6" w:rsidRPr="003A208C" w:rsidRDefault="00B932B6" w:rsidP="00B0123E">
      <w:pPr>
        <w:ind w:firstLine="360"/>
        <w:rPr>
          <w:rFonts w:asciiTheme="majorHAnsi" w:hAnsiTheme="majorHAnsi"/>
        </w:rPr>
      </w:pPr>
      <w:r w:rsidRPr="003A208C">
        <w:rPr>
          <w:rFonts w:asciiTheme="majorHAnsi" w:hAnsiTheme="majorHAnsi"/>
        </w:rPr>
        <w:t xml:space="preserve">De acuerdo a lo relevado por la presente evaluación ex ante a partir de los insumos documentales y las entrevistas realizadas, el riesgo principal del proyecto se encuentra dado por su complejidad.  </w:t>
      </w:r>
    </w:p>
    <w:p w14:paraId="3CD0A3AA" w14:textId="49A23882" w:rsidR="00B932B6" w:rsidRPr="003A208C" w:rsidRDefault="00B932B6" w:rsidP="00B0123E">
      <w:pPr>
        <w:ind w:firstLine="360"/>
        <w:rPr>
          <w:rFonts w:asciiTheme="majorHAnsi" w:hAnsiTheme="majorHAnsi"/>
        </w:rPr>
      </w:pPr>
      <w:r w:rsidRPr="003A208C">
        <w:rPr>
          <w:rFonts w:asciiTheme="majorHAnsi" w:hAnsiTheme="majorHAnsi"/>
        </w:rPr>
        <w:t>Como se mencionó anteriormente, las principales cuestiones a tener en cuenta son:</w:t>
      </w:r>
    </w:p>
    <w:p w14:paraId="285B1786" w14:textId="0908CB04" w:rsidR="00B932B6" w:rsidRPr="003A208C" w:rsidRDefault="00B932B6" w:rsidP="00B0123E">
      <w:pPr>
        <w:ind w:firstLine="360"/>
        <w:rPr>
          <w:rFonts w:asciiTheme="majorHAnsi" w:eastAsia="Calibri" w:hAnsiTheme="majorHAnsi"/>
          <w:b/>
          <w:color w:val="000000"/>
          <w:sz w:val="18"/>
          <w:szCs w:val="18"/>
        </w:rPr>
      </w:pPr>
      <w:r w:rsidRPr="003A208C">
        <w:rPr>
          <w:rFonts w:asciiTheme="majorHAnsi" w:hAnsiTheme="majorHAnsi"/>
        </w:rPr>
        <w:t>1. La cantidad y envergadura de los procesos de adquisiciones que implementará el proyecto. Principalmente la adquisición del Sorter en el marco de la Actividad 1 y la contratación de una universidad mediante una SDP en el marco de la Actividad 3. Ambos proc</w:t>
      </w:r>
      <w:r w:rsidR="00897702" w:rsidRPr="003A208C">
        <w:rPr>
          <w:rFonts w:asciiTheme="majorHAnsi" w:hAnsiTheme="majorHAnsi"/>
        </w:rPr>
        <w:t>esos sumados representan el 77</w:t>
      </w:r>
      <w:r w:rsidRPr="003A208C">
        <w:rPr>
          <w:rFonts w:asciiTheme="majorHAnsi" w:hAnsiTheme="majorHAnsi"/>
        </w:rPr>
        <w:t xml:space="preserve">% del presupuesto total del proyecto. Los principales riesgos emparentados son no alcanzar los resultados en los plazos previstos y la subejecución presupuestaria. Como medida de mitigación, se han previsto el acompañamiento del PNUD y la Cancillería en el diseño y ejecución de los procesos de adquisiciones y en el seguimiento de la normativa aplicable, y la capacitación continua de la UE en materia financiera y contable, de adquisiciones y contrataciones, y marco legal y monitoreo. </w:t>
      </w:r>
      <w:r w:rsidR="009311FC" w:rsidRPr="003A208C">
        <w:rPr>
          <w:rFonts w:asciiTheme="majorHAnsi" w:hAnsiTheme="majorHAnsi"/>
        </w:rPr>
        <w:t>También será importante la segregación de funciones, la designación de responsables y responsabilidades y el establecimiento de flujogramas</w:t>
      </w:r>
      <w:r w:rsidRPr="003A208C">
        <w:rPr>
          <w:rFonts w:asciiTheme="majorHAnsi" w:hAnsiTheme="majorHAnsi"/>
        </w:rPr>
        <w:t>,</w:t>
      </w:r>
      <w:r w:rsidR="009311FC" w:rsidRPr="003A208C">
        <w:rPr>
          <w:rFonts w:asciiTheme="majorHAnsi" w:hAnsiTheme="majorHAnsi"/>
        </w:rPr>
        <w:t xml:space="preserve"> acompañados de actividades de seguimiento y monitoreo periódicas. </w:t>
      </w:r>
      <w:r w:rsidRPr="003A208C">
        <w:rPr>
          <w:rFonts w:asciiTheme="majorHAnsi" w:eastAsia="Calibri" w:hAnsiTheme="majorHAnsi"/>
          <w:b/>
          <w:color w:val="000000"/>
          <w:sz w:val="18"/>
          <w:szCs w:val="18"/>
        </w:rPr>
        <w:t xml:space="preserve"> </w:t>
      </w:r>
    </w:p>
    <w:p w14:paraId="24678D3C" w14:textId="77777777" w:rsidR="00B932B6" w:rsidRPr="003A208C" w:rsidRDefault="00B932B6" w:rsidP="00B0123E">
      <w:pPr>
        <w:ind w:firstLine="360"/>
        <w:rPr>
          <w:rFonts w:asciiTheme="majorHAnsi" w:hAnsiTheme="majorHAnsi"/>
        </w:rPr>
      </w:pPr>
    </w:p>
    <w:p w14:paraId="33202CA3" w14:textId="758A5652" w:rsidR="00B932B6" w:rsidRPr="003A208C" w:rsidRDefault="009311FC" w:rsidP="00B0123E">
      <w:pPr>
        <w:ind w:firstLine="360"/>
        <w:rPr>
          <w:rFonts w:asciiTheme="majorHAnsi" w:eastAsiaTheme="minorEastAsia" w:hAnsiTheme="majorHAnsi" w:cstheme="minorBidi"/>
          <w:color w:val="000000"/>
          <w:lang w:eastAsia="es-ES"/>
        </w:rPr>
      </w:pPr>
      <w:r w:rsidRPr="003A208C">
        <w:rPr>
          <w:rFonts w:asciiTheme="majorHAnsi" w:hAnsiTheme="majorHAnsi"/>
        </w:rPr>
        <w:t xml:space="preserve">2. </w:t>
      </w:r>
      <w:r w:rsidRPr="003A208C">
        <w:rPr>
          <w:rFonts w:asciiTheme="majorHAnsi" w:eastAsiaTheme="minorEastAsia" w:hAnsiTheme="majorHAnsi" w:cstheme="minorBidi"/>
          <w:color w:val="000000"/>
          <w:lang w:eastAsia="es-ES"/>
        </w:rPr>
        <w:t xml:space="preserve">Por la naturaleza del proyecto, las áreas requirentes involucradas son numerosas, lo cual implica impulsar una articulación eficiente con las áreas técnicas correspondientes, a fin de obtener información y avanzar en las actividades e implementación del proyecto. Esto implica la necesidad de recibir verificaciones técnicas y autorizaciones de especificaciones, obtener información respecto de los indicadores y avance en las actividades que de ellas dependan, lo cual puede traer aparejado el riesgo de dificultar el alcance de los resultados previstos en los plazos estipulados. </w:t>
      </w:r>
      <w:r w:rsidR="00917830" w:rsidRPr="003A208C">
        <w:rPr>
          <w:rFonts w:asciiTheme="majorHAnsi" w:eastAsiaTheme="minorEastAsia" w:hAnsiTheme="majorHAnsi" w:cstheme="minorBidi"/>
          <w:color w:val="000000"/>
          <w:lang w:eastAsia="es-ES"/>
        </w:rPr>
        <w:t>Las medidas de mitigación propuestas se basan en la experiencia previa de implemtnación de proyectos PNUD y plantea elaborar planificaciones de las actividades considerando plazos conservadores de ejecución con la designación de responsables de las diversas áreas intervinientes para evitar demoras y agilizando las gestiones en la comunicación de avances. A su vez, tal como informado en la entrevista mantenida con la UE, se han desarrollado instructivos y flujogramas</w:t>
      </w:r>
      <w:r w:rsidR="00356070" w:rsidRPr="003A208C">
        <w:rPr>
          <w:rFonts w:asciiTheme="majorHAnsi" w:eastAsiaTheme="minorEastAsia" w:hAnsiTheme="majorHAnsi" w:cstheme="minorBidi"/>
          <w:color w:val="000000"/>
          <w:lang w:eastAsia="es-ES"/>
        </w:rPr>
        <w:t xml:space="preserve">, así como la </w:t>
      </w:r>
      <w:r w:rsidR="00917830" w:rsidRPr="003A208C">
        <w:rPr>
          <w:rFonts w:asciiTheme="majorHAnsi" w:eastAsiaTheme="minorEastAsia" w:hAnsiTheme="majorHAnsi" w:cstheme="minorBidi"/>
          <w:color w:val="000000"/>
          <w:lang w:eastAsia="es-ES"/>
        </w:rPr>
        <w:t xml:space="preserve">utilización del GDE como sistema de </w:t>
      </w:r>
      <w:r w:rsidR="00356070" w:rsidRPr="003A208C">
        <w:rPr>
          <w:rFonts w:asciiTheme="majorHAnsi" w:eastAsiaTheme="minorEastAsia" w:hAnsiTheme="majorHAnsi" w:cstheme="minorBidi"/>
          <w:color w:val="000000"/>
          <w:lang w:eastAsia="es-ES"/>
        </w:rPr>
        <w:t>Comunicación interna</w:t>
      </w:r>
      <w:r w:rsidR="00917830" w:rsidRPr="003A208C">
        <w:rPr>
          <w:rFonts w:asciiTheme="majorHAnsi" w:eastAsiaTheme="minorEastAsia" w:hAnsiTheme="majorHAnsi" w:cstheme="minorBidi"/>
          <w:color w:val="000000"/>
          <w:lang w:eastAsia="es-ES"/>
        </w:rPr>
        <w:t>, lo cual parece adecuado.</w:t>
      </w:r>
    </w:p>
    <w:p w14:paraId="40C1E8AA" w14:textId="77777777" w:rsidR="00B0123E" w:rsidRPr="003A208C" w:rsidRDefault="00B0123E" w:rsidP="00B0123E">
      <w:pPr>
        <w:rPr>
          <w:rFonts w:asciiTheme="majorHAnsi" w:hAnsiTheme="majorHAnsi"/>
        </w:rPr>
      </w:pPr>
    </w:p>
    <w:p w14:paraId="6A0797FF" w14:textId="77777777" w:rsidR="00B0123E" w:rsidRPr="003A208C" w:rsidRDefault="00B0123E" w:rsidP="00B0123E">
      <w:pPr>
        <w:rPr>
          <w:rFonts w:asciiTheme="majorHAnsi" w:hAnsiTheme="majorHAnsi"/>
        </w:rPr>
      </w:pPr>
    </w:p>
    <w:p w14:paraId="405F1476" w14:textId="77777777" w:rsidR="00B0123E" w:rsidRPr="003A208C" w:rsidRDefault="00B0123E" w:rsidP="00B0123E">
      <w:pPr>
        <w:pStyle w:val="Prrafodelista"/>
        <w:numPr>
          <w:ilvl w:val="0"/>
          <w:numId w:val="1"/>
        </w:numPr>
        <w:spacing w:after="160" w:line="259" w:lineRule="auto"/>
        <w:rPr>
          <w:rFonts w:asciiTheme="majorHAnsi" w:hAnsiTheme="majorHAnsi"/>
          <w:b/>
        </w:rPr>
      </w:pPr>
      <w:r w:rsidRPr="003A208C">
        <w:rPr>
          <w:rFonts w:asciiTheme="majorHAnsi" w:hAnsiTheme="majorHAnsi"/>
          <w:b/>
        </w:rPr>
        <w:t>Revisión del Diagnóstico Social y Ambiental inicial elaborado por el PNUD.</w:t>
      </w:r>
    </w:p>
    <w:p w14:paraId="1AA0D241" w14:textId="77777777" w:rsidR="00B0123E" w:rsidRPr="003A208C" w:rsidRDefault="00B0123E" w:rsidP="00B0123E">
      <w:pPr>
        <w:pStyle w:val="Prrafodelista"/>
        <w:spacing w:after="0"/>
        <w:ind w:left="360"/>
        <w:rPr>
          <w:rFonts w:asciiTheme="majorHAnsi" w:hAnsiTheme="majorHAnsi"/>
        </w:rPr>
      </w:pPr>
    </w:p>
    <w:p w14:paraId="15FE73C5" w14:textId="5DAC0C41" w:rsidR="003334CA" w:rsidRPr="003A208C" w:rsidRDefault="0058460E" w:rsidP="003334CA">
      <w:pPr>
        <w:pStyle w:val="Prrafodelista"/>
        <w:ind w:left="0"/>
        <w:rPr>
          <w:rFonts w:asciiTheme="majorHAnsi" w:hAnsiTheme="majorHAnsi"/>
        </w:rPr>
      </w:pPr>
      <w:r w:rsidRPr="003A208C">
        <w:rPr>
          <w:rFonts w:asciiTheme="majorHAnsi" w:hAnsiTheme="majorHAnsi"/>
        </w:rPr>
        <w:t>No se encuentran objeciones ni diferencias en cuanto a la evaluación Social y Ambiental inicial elaborada por el PNUD.</w:t>
      </w:r>
    </w:p>
    <w:p w14:paraId="2C5F0297" w14:textId="77777777" w:rsidR="003334CA" w:rsidRPr="003A208C" w:rsidRDefault="003334CA" w:rsidP="003334CA">
      <w:pPr>
        <w:pStyle w:val="Prrafodelista"/>
        <w:ind w:left="0"/>
        <w:rPr>
          <w:rFonts w:asciiTheme="majorHAnsi" w:hAnsiTheme="majorHAnsi"/>
        </w:rPr>
        <w:sectPr w:rsidR="003334CA" w:rsidRPr="003A208C" w:rsidSect="00B0123E">
          <w:pgSz w:w="11900" w:h="16840"/>
          <w:pgMar w:top="1417" w:right="1701" w:bottom="1417" w:left="1701" w:header="708" w:footer="708" w:gutter="0"/>
          <w:cols w:space="708"/>
          <w:docGrid w:linePitch="360"/>
        </w:sectPr>
      </w:pPr>
    </w:p>
    <w:p w14:paraId="2F4BC186" w14:textId="37F6E6BB" w:rsidR="00B0123E" w:rsidRPr="003A208C" w:rsidRDefault="00B0123E" w:rsidP="00A12D52">
      <w:pPr>
        <w:rPr>
          <w:rFonts w:asciiTheme="majorHAnsi" w:eastAsia="Calibri" w:hAnsiTheme="majorHAnsi"/>
        </w:rPr>
      </w:pPr>
    </w:p>
    <w:p w14:paraId="4FDFE220" w14:textId="7302E367" w:rsidR="003334CA" w:rsidRPr="003A208C" w:rsidRDefault="003334CA" w:rsidP="003334CA">
      <w:pPr>
        <w:pStyle w:val="Prrafodelista"/>
        <w:numPr>
          <w:ilvl w:val="0"/>
          <w:numId w:val="1"/>
        </w:numPr>
        <w:rPr>
          <w:rFonts w:asciiTheme="majorHAnsi" w:hAnsiTheme="majorHAnsi"/>
          <w:b/>
        </w:rPr>
      </w:pPr>
      <w:r w:rsidRPr="003A208C">
        <w:rPr>
          <w:rFonts w:asciiTheme="majorHAnsi" w:hAnsiTheme="majorHAnsi"/>
          <w:b/>
        </w:rPr>
        <w:t>Estimación del riesgo total del proyecto</w:t>
      </w:r>
    </w:p>
    <w:p w14:paraId="67062D40" w14:textId="77777777" w:rsidR="003334CA" w:rsidRPr="003A208C" w:rsidRDefault="003334CA" w:rsidP="003334CA">
      <w:pPr>
        <w:rPr>
          <w:rFonts w:asciiTheme="majorHAnsi" w:eastAsia="Calibri" w:hAnsiTheme="majorHAnsi"/>
        </w:rPr>
      </w:pPr>
    </w:p>
    <w:p w14:paraId="6B96183F" w14:textId="77777777" w:rsidR="003334CA" w:rsidRPr="003A208C" w:rsidRDefault="003334CA" w:rsidP="003334CA">
      <w:pPr>
        <w:spacing w:after="0"/>
        <w:jc w:val="left"/>
        <w:rPr>
          <w:rFonts w:asciiTheme="majorHAnsi" w:eastAsia="Times New Roman" w:hAnsiTheme="majorHAnsi" w:cs="Times New Roman"/>
          <w:sz w:val="20"/>
          <w:szCs w:val="20"/>
          <w:lang w:eastAsia="es-ES"/>
        </w:rPr>
      </w:pPr>
    </w:p>
    <w:p w14:paraId="5FF82B06" w14:textId="77777777" w:rsidR="003334CA" w:rsidRPr="003A208C" w:rsidRDefault="003334CA" w:rsidP="003334CA">
      <w:pPr>
        <w:spacing w:after="0"/>
        <w:rPr>
          <w:rFonts w:asciiTheme="majorHAnsi" w:eastAsiaTheme="minorEastAsia" w:hAnsiTheme="majorHAnsi" w:cs="Times New Roman"/>
          <w:sz w:val="20"/>
          <w:szCs w:val="20"/>
          <w:lang w:eastAsia="es-ES"/>
        </w:rPr>
      </w:pPr>
      <w:r w:rsidRPr="003A208C">
        <w:rPr>
          <w:rFonts w:asciiTheme="majorHAnsi" w:eastAsiaTheme="minorEastAsia" w:hAnsiTheme="majorHAnsi" w:cs="Times New Roman"/>
          <w:color w:val="000000"/>
          <w:lang w:eastAsia="es-ES"/>
        </w:rPr>
        <w:t>La estimación del riesgo total del proyecto es una conclusión de la evaluación ex ante, relativa a los aspectos considerados críticos: capacidad institucional, a elementos del contexto y a la complejidad técnica del proyecto. Es una medida “resumen” de algunas de las dimensiones y variables evaluadas con mayor profundidad.</w:t>
      </w:r>
    </w:p>
    <w:p w14:paraId="4E977C51" w14:textId="77777777" w:rsidR="003334CA" w:rsidRPr="003A208C" w:rsidRDefault="003334CA" w:rsidP="003334CA">
      <w:pPr>
        <w:spacing w:after="0"/>
        <w:jc w:val="left"/>
        <w:rPr>
          <w:rFonts w:asciiTheme="majorHAnsi" w:eastAsia="Times New Roman" w:hAnsiTheme="majorHAnsi" w:cs="Times New Roman"/>
          <w:sz w:val="20"/>
          <w:szCs w:val="20"/>
          <w:lang w:eastAsia="es-ES"/>
        </w:rPr>
      </w:pPr>
    </w:p>
    <w:p w14:paraId="14378062" w14:textId="77777777" w:rsidR="003334CA" w:rsidRPr="003A208C" w:rsidRDefault="003334CA" w:rsidP="003334CA">
      <w:pPr>
        <w:spacing w:after="0"/>
        <w:rPr>
          <w:rFonts w:asciiTheme="majorHAnsi" w:eastAsiaTheme="minorEastAsia" w:hAnsiTheme="majorHAnsi" w:cs="Times New Roman"/>
          <w:b/>
          <w:bCs/>
          <w:color w:val="000000"/>
          <w:lang w:eastAsia="es-ES"/>
        </w:rPr>
      </w:pPr>
      <w:r w:rsidRPr="003A208C">
        <w:rPr>
          <w:rFonts w:asciiTheme="majorHAnsi" w:eastAsiaTheme="minorEastAsia" w:hAnsiTheme="majorHAnsi" w:cs="Times New Roman"/>
          <w:b/>
          <w:bCs/>
          <w:color w:val="000000"/>
          <w:lang w:eastAsia="es-ES"/>
        </w:rPr>
        <w:t>Matriz de Análisis de las dimensiones o factores de riesgo</w:t>
      </w:r>
    </w:p>
    <w:p w14:paraId="3A0143C2" w14:textId="77777777" w:rsidR="00480B28" w:rsidRPr="003A208C" w:rsidRDefault="00480B28" w:rsidP="003334CA">
      <w:pPr>
        <w:spacing w:after="0"/>
        <w:rPr>
          <w:rFonts w:asciiTheme="majorHAnsi" w:eastAsiaTheme="minorEastAsia" w:hAnsiTheme="majorHAnsi" w:cs="Times New Roman"/>
          <w:b/>
          <w:bCs/>
          <w:color w:val="000000"/>
          <w:lang w:eastAsia="es-ES"/>
        </w:rPr>
      </w:pPr>
    </w:p>
    <w:tbl>
      <w:tblPr>
        <w:tblStyle w:val="Tablaconcuadrcula"/>
        <w:tblW w:w="14567" w:type="dxa"/>
        <w:tblLayout w:type="fixed"/>
        <w:tblLook w:val="04A0" w:firstRow="1" w:lastRow="0" w:firstColumn="1" w:lastColumn="0" w:noHBand="0" w:noVBand="1"/>
      </w:tblPr>
      <w:tblGrid>
        <w:gridCol w:w="1833"/>
        <w:gridCol w:w="2528"/>
        <w:gridCol w:w="2835"/>
        <w:gridCol w:w="1418"/>
        <w:gridCol w:w="1417"/>
        <w:gridCol w:w="1418"/>
        <w:gridCol w:w="3118"/>
      </w:tblGrid>
      <w:tr w:rsidR="00480B28" w:rsidRPr="003A208C" w14:paraId="2A833CCB" w14:textId="77777777" w:rsidTr="00480B28">
        <w:tc>
          <w:tcPr>
            <w:tcW w:w="1833" w:type="dxa"/>
          </w:tcPr>
          <w:p w14:paraId="4B65A98A" w14:textId="4B3FC602" w:rsidR="00480B28" w:rsidRPr="003A208C" w:rsidRDefault="00480B28" w:rsidP="003334CA">
            <w:pPr>
              <w:spacing w:after="0"/>
              <w:rPr>
                <w:rFonts w:asciiTheme="majorHAnsi" w:eastAsiaTheme="minorEastAsia" w:hAnsiTheme="majorHAnsi" w:cs="Times New Roman"/>
                <w:b/>
                <w:bCs/>
                <w:color w:val="000000"/>
                <w:lang w:eastAsia="es-ES"/>
              </w:rPr>
            </w:pPr>
            <w:r w:rsidRPr="003A208C">
              <w:rPr>
                <w:rFonts w:asciiTheme="majorHAnsi" w:eastAsiaTheme="minorEastAsia" w:hAnsiTheme="majorHAnsi" w:cs="Times New Roman"/>
                <w:b/>
                <w:bCs/>
                <w:color w:val="000000"/>
                <w:lang w:eastAsia="es-ES"/>
              </w:rPr>
              <w:t>Dimensión/factor</w:t>
            </w:r>
          </w:p>
        </w:tc>
        <w:tc>
          <w:tcPr>
            <w:tcW w:w="2528" w:type="dxa"/>
          </w:tcPr>
          <w:p w14:paraId="1625ED0D" w14:textId="689C0C22" w:rsidR="00480B28" w:rsidRPr="003A208C" w:rsidRDefault="00480B28" w:rsidP="003334CA">
            <w:pPr>
              <w:spacing w:after="0"/>
              <w:rPr>
                <w:rFonts w:asciiTheme="majorHAnsi" w:eastAsiaTheme="minorEastAsia" w:hAnsiTheme="majorHAnsi" w:cs="Times New Roman"/>
                <w:b/>
                <w:bCs/>
                <w:color w:val="000000"/>
                <w:lang w:eastAsia="es-ES"/>
              </w:rPr>
            </w:pPr>
            <w:r w:rsidRPr="003A208C">
              <w:rPr>
                <w:rFonts w:asciiTheme="majorHAnsi" w:eastAsiaTheme="minorEastAsia" w:hAnsiTheme="majorHAnsi" w:cs="Times New Roman"/>
                <w:b/>
                <w:bCs/>
                <w:color w:val="000000"/>
                <w:lang w:eastAsia="es-ES"/>
              </w:rPr>
              <w:t>Variables</w:t>
            </w:r>
          </w:p>
        </w:tc>
        <w:tc>
          <w:tcPr>
            <w:tcW w:w="2835" w:type="dxa"/>
          </w:tcPr>
          <w:p w14:paraId="4803BE00" w14:textId="216914B5" w:rsidR="00480B28" w:rsidRPr="003A208C" w:rsidRDefault="00480B28" w:rsidP="003334CA">
            <w:pPr>
              <w:spacing w:after="0"/>
              <w:rPr>
                <w:rFonts w:asciiTheme="majorHAnsi" w:eastAsiaTheme="minorEastAsia" w:hAnsiTheme="majorHAnsi" w:cs="Times New Roman"/>
                <w:b/>
                <w:bCs/>
                <w:color w:val="000000"/>
                <w:lang w:eastAsia="es-ES"/>
              </w:rPr>
            </w:pPr>
            <w:r w:rsidRPr="003A208C">
              <w:rPr>
                <w:rFonts w:asciiTheme="majorHAnsi" w:eastAsiaTheme="minorEastAsia" w:hAnsiTheme="majorHAnsi" w:cs="Times New Roman"/>
                <w:b/>
                <w:bCs/>
                <w:color w:val="000000"/>
                <w:lang w:eastAsia="es-ES"/>
              </w:rPr>
              <w:t>Definición del Riesgo</w:t>
            </w:r>
          </w:p>
        </w:tc>
        <w:tc>
          <w:tcPr>
            <w:tcW w:w="1418" w:type="dxa"/>
          </w:tcPr>
          <w:p w14:paraId="529CDB45" w14:textId="46678EAD" w:rsidR="00480B28" w:rsidRPr="003A208C" w:rsidRDefault="00480B28" w:rsidP="003334CA">
            <w:pPr>
              <w:spacing w:after="0"/>
              <w:rPr>
                <w:rFonts w:asciiTheme="majorHAnsi" w:eastAsiaTheme="minorEastAsia" w:hAnsiTheme="majorHAnsi" w:cs="Times New Roman"/>
                <w:b/>
                <w:bCs/>
                <w:color w:val="000000"/>
                <w:lang w:eastAsia="es-ES"/>
              </w:rPr>
            </w:pPr>
            <w:r w:rsidRPr="003A208C">
              <w:rPr>
                <w:rFonts w:asciiTheme="majorHAnsi" w:eastAsiaTheme="minorEastAsia" w:hAnsiTheme="majorHAnsi" w:cs="Times New Roman"/>
                <w:b/>
                <w:bCs/>
                <w:color w:val="000000"/>
                <w:lang w:eastAsia="es-ES"/>
              </w:rPr>
              <w:t>Ponderación</w:t>
            </w:r>
          </w:p>
        </w:tc>
        <w:tc>
          <w:tcPr>
            <w:tcW w:w="1417" w:type="dxa"/>
          </w:tcPr>
          <w:p w14:paraId="6694B4AA" w14:textId="0DD95187" w:rsidR="00480B28" w:rsidRPr="003A208C" w:rsidRDefault="00480B28" w:rsidP="003334CA">
            <w:pPr>
              <w:spacing w:after="0"/>
              <w:rPr>
                <w:rFonts w:asciiTheme="majorHAnsi" w:eastAsiaTheme="minorEastAsia" w:hAnsiTheme="majorHAnsi" w:cs="Times New Roman"/>
                <w:b/>
                <w:bCs/>
                <w:color w:val="000000"/>
                <w:lang w:eastAsia="es-ES"/>
              </w:rPr>
            </w:pPr>
            <w:r w:rsidRPr="003A208C">
              <w:rPr>
                <w:rFonts w:asciiTheme="majorHAnsi" w:eastAsiaTheme="minorEastAsia" w:hAnsiTheme="majorHAnsi" w:cs="Times New Roman"/>
                <w:b/>
                <w:bCs/>
                <w:color w:val="000000"/>
                <w:lang w:eastAsia="es-ES"/>
              </w:rPr>
              <w:t>Nivel del Riesgo</w:t>
            </w:r>
          </w:p>
        </w:tc>
        <w:tc>
          <w:tcPr>
            <w:tcW w:w="1418" w:type="dxa"/>
          </w:tcPr>
          <w:p w14:paraId="71E3CC59" w14:textId="75767067" w:rsidR="00480B28" w:rsidRPr="003A208C" w:rsidRDefault="00480B28" w:rsidP="003334CA">
            <w:pPr>
              <w:spacing w:after="0"/>
              <w:rPr>
                <w:rFonts w:asciiTheme="majorHAnsi" w:eastAsiaTheme="minorEastAsia" w:hAnsiTheme="majorHAnsi" w:cs="Times New Roman"/>
                <w:b/>
                <w:bCs/>
                <w:color w:val="000000"/>
                <w:lang w:eastAsia="es-ES"/>
              </w:rPr>
            </w:pPr>
            <w:r w:rsidRPr="003A208C">
              <w:rPr>
                <w:rFonts w:asciiTheme="majorHAnsi" w:eastAsiaTheme="minorEastAsia" w:hAnsiTheme="majorHAnsi" w:cs="Times New Roman"/>
                <w:b/>
                <w:bCs/>
                <w:color w:val="000000"/>
                <w:lang w:eastAsia="es-ES"/>
              </w:rPr>
              <w:t>Incidencia de riesgo total</w:t>
            </w:r>
          </w:p>
        </w:tc>
        <w:tc>
          <w:tcPr>
            <w:tcW w:w="3118" w:type="dxa"/>
          </w:tcPr>
          <w:p w14:paraId="4B23766E" w14:textId="5BC312E2" w:rsidR="00480B28" w:rsidRPr="003A208C" w:rsidRDefault="00480B28" w:rsidP="003334CA">
            <w:pPr>
              <w:spacing w:after="0"/>
              <w:rPr>
                <w:rFonts w:asciiTheme="majorHAnsi" w:eastAsiaTheme="minorEastAsia" w:hAnsiTheme="majorHAnsi" w:cs="Times New Roman"/>
                <w:b/>
                <w:bCs/>
                <w:color w:val="000000"/>
                <w:lang w:eastAsia="es-ES"/>
              </w:rPr>
            </w:pPr>
            <w:r w:rsidRPr="003A208C">
              <w:rPr>
                <w:rFonts w:asciiTheme="majorHAnsi" w:eastAsiaTheme="minorEastAsia" w:hAnsiTheme="majorHAnsi" w:cs="Times New Roman"/>
                <w:b/>
                <w:bCs/>
                <w:color w:val="000000"/>
                <w:lang w:eastAsia="es-ES"/>
              </w:rPr>
              <w:t>Medidas sugeridas para mitigar el riesgo</w:t>
            </w:r>
          </w:p>
        </w:tc>
      </w:tr>
      <w:tr w:rsidR="00B47A4A" w:rsidRPr="003A208C" w14:paraId="1F140818" w14:textId="77777777" w:rsidTr="00480B28">
        <w:tc>
          <w:tcPr>
            <w:tcW w:w="1833" w:type="dxa"/>
            <w:vMerge w:val="restart"/>
          </w:tcPr>
          <w:p w14:paraId="07C001A1" w14:textId="65B83E7E" w:rsidR="00B47A4A" w:rsidRPr="003A208C" w:rsidRDefault="00B47A4A" w:rsidP="003334CA">
            <w:pPr>
              <w:spacing w:after="0"/>
              <w:rPr>
                <w:rFonts w:asciiTheme="majorHAnsi" w:eastAsiaTheme="minorEastAsia" w:hAnsiTheme="majorHAnsi" w:cs="Times New Roman"/>
                <w:b/>
                <w:bCs/>
                <w:color w:val="000000"/>
                <w:lang w:eastAsia="es-ES"/>
              </w:rPr>
            </w:pPr>
            <w:r w:rsidRPr="003A208C">
              <w:rPr>
                <w:rFonts w:asciiTheme="majorHAnsi" w:eastAsiaTheme="minorEastAsia" w:hAnsiTheme="majorHAnsi" w:cs="Times New Roman"/>
                <w:b/>
                <w:bCs/>
                <w:color w:val="000000"/>
                <w:lang w:eastAsia="es-ES"/>
              </w:rPr>
              <w:t>Contexto</w:t>
            </w:r>
          </w:p>
        </w:tc>
        <w:tc>
          <w:tcPr>
            <w:tcW w:w="2528" w:type="dxa"/>
          </w:tcPr>
          <w:p w14:paraId="6C0B34B5" w14:textId="543763FB" w:rsidR="00B47A4A" w:rsidRPr="003A208C" w:rsidRDefault="00B47A4A" w:rsidP="004A49E2">
            <w:pPr>
              <w:spacing w:after="0"/>
              <w:jc w:val="left"/>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Contexto político</w:t>
            </w:r>
          </w:p>
        </w:tc>
        <w:tc>
          <w:tcPr>
            <w:tcW w:w="2835" w:type="dxa"/>
          </w:tcPr>
          <w:p w14:paraId="04F1FEF1" w14:textId="6065578C" w:rsidR="00B47A4A" w:rsidRPr="003A208C" w:rsidRDefault="00B47A4A" w:rsidP="00480B28">
            <w:pPr>
              <w:spacing w:after="0"/>
              <w:jc w:val="left"/>
              <w:rPr>
                <w:rFonts w:asciiTheme="majorHAnsi" w:eastAsia="Times New Roman" w:hAnsiTheme="majorHAnsi" w:cs="Times New Roman"/>
                <w:sz w:val="20"/>
                <w:szCs w:val="20"/>
                <w:lang w:eastAsia="es-ES"/>
              </w:rPr>
            </w:pPr>
            <w:r w:rsidRPr="003A208C">
              <w:rPr>
                <w:rFonts w:asciiTheme="majorHAnsi" w:eastAsia="Times New Roman" w:hAnsiTheme="majorHAnsi" w:cs="Times New Roman"/>
                <w:color w:val="000000"/>
                <w:sz w:val="20"/>
                <w:szCs w:val="20"/>
                <w:lang w:eastAsia="es-ES"/>
              </w:rPr>
              <w:t>El contexto político puede constituir un obstáculo para la ejecución del Proyecto</w:t>
            </w:r>
          </w:p>
        </w:tc>
        <w:tc>
          <w:tcPr>
            <w:tcW w:w="1418" w:type="dxa"/>
            <w:vMerge w:val="restart"/>
          </w:tcPr>
          <w:p w14:paraId="52CE0857" w14:textId="2ADC8FD8" w:rsidR="00B47A4A" w:rsidRPr="003A208C" w:rsidRDefault="00B47A4A" w:rsidP="003334CA">
            <w:pPr>
              <w:spacing w:after="0"/>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20</w:t>
            </w:r>
          </w:p>
        </w:tc>
        <w:tc>
          <w:tcPr>
            <w:tcW w:w="1417" w:type="dxa"/>
            <w:vMerge w:val="restart"/>
          </w:tcPr>
          <w:p w14:paraId="4522D290" w14:textId="614FAA14" w:rsidR="00B47A4A" w:rsidRPr="003A208C" w:rsidRDefault="001B1E8E" w:rsidP="003334CA">
            <w:pPr>
              <w:spacing w:after="0"/>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0.2</w:t>
            </w:r>
          </w:p>
        </w:tc>
        <w:tc>
          <w:tcPr>
            <w:tcW w:w="1418" w:type="dxa"/>
            <w:vMerge w:val="restart"/>
          </w:tcPr>
          <w:p w14:paraId="63F4B9CC" w14:textId="483CB46E" w:rsidR="00B47A4A" w:rsidRPr="003A208C" w:rsidRDefault="001B1E8E" w:rsidP="003334CA">
            <w:pPr>
              <w:spacing w:after="0"/>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4</w:t>
            </w:r>
          </w:p>
        </w:tc>
        <w:tc>
          <w:tcPr>
            <w:tcW w:w="3118" w:type="dxa"/>
            <w:vMerge w:val="restart"/>
          </w:tcPr>
          <w:p w14:paraId="3E88BEFF" w14:textId="139A5C0B" w:rsidR="00B47A4A" w:rsidRPr="003A208C" w:rsidRDefault="00A36DFC" w:rsidP="003334CA">
            <w:pPr>
              <w:spacing w:after="0"/>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 xml:space="preserve">El único riesgo dentro del contexto político y del sector público es la emergencia causada por la pandemia de Covid-19. No obstante, el proyecto se encuentra cabalmente financiado y brindará servicios fundamentales aún en ese marco. </w:t>
            </w:r>
          </w:p>
        </w:tc>
      </w:tr>
      <w:tr w:rsidR="00B47A4A" w:rsidRPr="003A208C" w14:paraId="3D617DF8" w14:textId="77777777" w:rsidTr="00480B28">
        <w:tc>
          <w:tcPr>
            <w:tcW w:w="1833" w:type="dxa"/>
            <w:vMerge/>
          </w:tcPr>
          <w:p w14:paraId="5E8730D2" w14:textId="77777777" w:rsidR="00B47A4A" w:rsidRPr="003A208C" w:rsidRDefault="00B47A4A" w:rsidP="003334CA">
            <w:pPr>
              <w:spacing w:after="0"/>
              <w:rPr>
                <w:rFonts w:asciiTheme="majorHAnsi" w:eastAsiaTheme="minorEastAsia" w:hAnsiTheme="majorHAnsi" w:cs="Times New Roman"/>
                <w:b/>
                <w:bCs/>
                <w:color w:val="000000"/>
                <w:lang w:eastAsia="es-ES"/>
              </w:rPr>
            </w:pPr>
          </w:p>
        </w:tc>
        <w:tc>
          <w:tcPr>
            <w:tcW w:w="2528" w:type="dxa"/>
          </w:tcPr>
          <w:p w14:paraId="0368D9A9" w14:textId="5C7CF876" w:rsidR="00B47A4A" w:rsidRPr="003A208C" w:rsidRDefault="00B47A4A" w:rsidP="004A49E2">
            <w:pPr>
              <w:spacing w:after="0"/>
              <w:jc w:val="left"/>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Contexto del sector público</w:t>
            </w:r>
          </w:p>
        </w:tc>
        <w:tc>
          <w:tcPr>
            <w:tcW w:w="2835" w:type="dxa"/>
          </w:tcPr>
          <w:p w14:paraId="6872D50D" w14:textId="009CE658" w:rsidR="00B47A4A" w:rsidRPr="003A208C" w:rsidRDefault="00B47A4A" w:rsidP="00480B28">
            <w:pPr>
              <w:spacing w:after="0"/>
              <w:jc w:val="left"/>
              <w:rPr>
                <w:rFonts w:asciiTheme="majorHAnsi" w:eastAsia="Times New Roman" w:hAnsiTheme="majorHAnsi" w:cs="Times New Roman"/>
                <w:sz w:val="20"/>
                <w:szCs w:val="20"/>
                <w:lang w:eastAsia="es-ES"/>
              </w:rPr>
            </w:pPr>
            <w:r w:rsidRPr="003A208C">
              <w:rPr>
                <w:rFonts w:asciiTheme="majorHAnsi" w:eastAsia="Times New Roman" w:hAnsiTheme="majorHAnsi" w:cs="Times New Roman"/>
                <w:color w:val="000000"/>
                <w:sz w:val="20"/>
                <w:szCs w:val="20"/>
                <w:lang w:eastAsia="es-ES"/>
              </w:rPr>
              <w:t>El marco político normativo del área involucrada puede obstaculizar la ejecución del Proyecto</w:t>
            </w:r>
          </w:p>
        </w:tc>
        <w:tc>
          <w:tcPr>
            <w:tcW w:w="1418" w:type="dxa"/>
            <w:vMerge/>
          </w:tcPr>
          <w:p w14:paraId="18643774" w14:textId="77777777" w:rsidR="00B47A4A" w:rsidRPr="003A208C" w:rsidRDefault="00B47A4A" w:rsidP="003334CA">
            <w:pPr>
              <w:spacing w:after="0"/>
              <w:rPr>
                <w:rFonts w:asciiTheme="majorHAnsi" w:eastAsiaTheme="minorEastAsia" w:hAnsiTheme="majorHAnsi" w:cs="Times New Roman"/>
                <w:bCs/>
                <w:color w:val="000000"/>
                <w:lang w:eastAsia="es-ES"/>
              </w:rPr>
            </w:pPr>
          </w:p>
        </w:tc>
        <w:tc>
          <w:tcPr>
            <w:tcW w:w="1417" w:type="dxa"/>
            <w:vMerge/>
          </w:tcPr>
          <w:p w14:paraId="57B02DEA" w14:textId="1CE0383F" w:rsidR="00B47A4A" w:rsidRPr="003A208C" w:rsidRDefault="00B47A4A" w:rsidP="003334CA">
            <w:pPr>
              <w:spacing w:after="0"/>
              <w:rPr>
                <w:rFonts w:asciiTheme="majorHAnsi" w:eastAsiaTheme="minorEastAsia" w:hAnsiTheme="majorHAnsi" w:cs="Times New Roman"/>
                <w:bCs/>
                <w:color w:val="000000"/>
                <w:lang w:eastAsia="es-ES"/>
              </w:rPr>
            </w:pPr>
          </w:p>
        </w:tc>
        <w:tc>
          <w:tcPr>
            <w:tcW w:w="1418" w:type="dxa"/>
            <w:vMerge/>
          </w:tcPr>
          <w:p w14:paraId="1CDE3C82" w14:textId="77777777" w:rsidR="00B47A4A" w:rsidRPr="003A208C" w:rsidRDefault="00B47A4A" w:rsidP="003334CA">
            <w:pPr>
              <w:spacing w:after="0"/>
              <w:rPr>
                <w:rFonts w:asciiTheme="majorHAnsi" w:eastAsiaTheme="minorEastAsia" w:hAnsiTheme="majorHAnsi" w:cs="Times New Roman"/>
                <w:bCs/>
                <w:color w:val="000000"/>
                <w:lang w:eastAsia="es-ES"/>
              </w:rPr>
            </w:pPr>
          </w:p>
        </w:tc>
        <w:tc>
          <w:tcPr>
            <w:tcW w:w="3118" w:type="dxa"/>
            <w:vMerge/>
          </w:tcPr>
          <w:p w14:paraId="14C3FA2E" w14:textId="77777777" w:rsidR="00B47A4A" w:rsidRPr="003A208C" w:rsidRDefault="00B47A4A" w:rsidP="003334CA">
            <w:pPr>
              <w:spacing w:after="0"/>
              <w:rPr>
                <w:rFonts w:asciiTheme="majorHAnsi" w:eastAsiaTheme="minorEastAsia" w:hAnsiTheme="majorHAnsi" w:cs="Times New Roman"/>
                <w:bCs/>
                <w:color w:val="000000"/>
                <w:lang w:eastAsia="es-ES"/>
              </w:rPr>
            </w:pPr>
          </w:p>
        </w:tc>
      </w:tr>
      <w:tr w:rsidR="00B47A4A" w:rsidRPr="003A208C" w14:paraId="1464073E" w14:textId="77777777" w:rsidTr="00480B28">
        <w:tc>
          <w:tcPr>
            <w:tcW w:w="1833" w:type="dxa"/>
            <w:vMerge/>
          </w:tcPr>
          <w:p w14:paraId="602A62F7" w14:textId="77777777" w:rsidR="00B47A4A" w:rsidRPr="003A208C" w:rsidRDefault="00B47A4A" w:rsidP="003334CA">
            <w:pPr>
              <w:spacing w:after="0"/>
              <w:rPr>
                <w:rFonts w:asciiTheme="majorHAnsi" w:eastAsiaTheme="minorEastAsia" w:hAnsiTheme="majorHAnsi" w:cs="Times New Roman"/>
                <w:b/>
                <w:bCs/>
                <w:color w:val="000000"/>
                <w:lang w:eastAsia="es-ES"/>
              </w:rPr>
            </w:pPr>
          </w:p>
        </w:tc>
        <w:tc>
          <w:tcPr>
            <w:tcW w:w="2528" w:type="dxa"/>
          </w:tcPr>
          <w:p w14:paraId="55238FB2" w14:textId="1E3D811B" w:rsidR="00B47A4A" w:rsidRPr="003A208C" w:rsidRDefault="00B47A4A" w:rsidP="004A49E2">
            <w:pPr>
              <w:spacing w:after="0"/>
              <w:jc w:val="left"/>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Previsibilidad de financiamiento</w:t>
            </w:r>
          </w:p>
        </w:tc>
        <w:tc>
          <w:tcPr>
            <w:tcW w:w="2835" w:type="dxa"/>
          </w:tcPr>
          <w:p w14:paraId="504C8411" w14:textId="620FF307" w:rsidR="00B47A4A" w:rsidRPr="003A208C" w:rsidRDefault="00B47A4A" w:rsidP="00480B28">
            <w:pPr>
              <w:spacing w:after="0"/>
              <w:jc w:val="left"/>
              <w:rPr>
                <w:rFonts w:asciiTheme="majorHAnsi" w:eastAsia="Times New Roman" w:hAnsiTheme="majorHAnsi" w:cs="Times New Roman"/>
                <w:sz w:val="20"/>
                <w:szCs w:val="20"/>
                <w:lang w:eastAsia="es-ES"/>
              </w:rPr>
            </w:pPr>
            <w:r w:rsidRPr="003A208C">
              <w:rPr>
                <w:rFonts w:asciiTheme="majorHAnsi" w:eastAsia="Times New Roman" w:hAnsiTheme="majorHAnsi" w:cs="Times New Roman"/>
                <w:color w:val="000000"/>
                <w:sz w:val="20"/>
                <w:szCs w:val="20"/>
                <w:lang w:eastAsia="es-ES"/>
              </w:rPr>
              <w:t>El financiamiento no está asegurado y la decisión se encuentra fuera del ámbito de intervención de las autoridades del Proyecto</w:t>
            </w:r>
          </w:p>
        </w:tc>
        <w:tc>
          <w:tcPr>
            <w:tcW w:w="1418" w:type="dxa"/>
            <w:vMerge/>
          </w:tcPr>
          <w:p w14:paraId="2273694D" w14:textId="77777777" w:rsidR="00B47A4A" w:rsidRPr="003A208C" w:rsidRDefault="00B47A4A" w:rsidP="003334CA">
            <w:pPr>
              <w:spacing w:after="0"/>
              <w:rPr>
                <w:rFonts w:asciiTheme="majorHAnsi" w:eastAsiaTheme="minorEastAsia" w:hAnsiTheme="majorHAnsi" w:cs="Times New Roman"/>
                <w:bCs/>
                <w:color w:val="000000"/>
                <w:lang w:eastAsia="es-ES"/>
              </w:rPr>
            </w:pPr>
          </w:p>
        </w:tc>
        <w:tc>
          <w:tcPr>
            <w:tcW w:w="1417" w:type="dxa"/>
            <w:vMerge/>
          </w:tcPr>
          <w:p w14:paraId="409B82BE" w14:textId="3C2647D3" w:rsidR="00B47A4A" w:rsidRPr="003A208C" w:rsidRDefault="00B47A4A" w:rsidP="003334CA">
            <w:pPr>
              <w:spacing w:after="0"/>
              <w:rPr>
                <w:rFonts w:asciiTheme="majorHAnsi" w:eastAsiaTheme="minorEastAsia" w:hAnsiTheme="majorHAnsi" w:cs="Times New Roman"/>
                <w:bCs/>
                <w:color w:val="000000"/>
                <w:lang w:eastAsia="es-ES"/>
              </w:rPr>
            </w:pPr>
          </w:p>
        </w:tc>
        <w:tc>
          <w:tcPr>
            <w:tcW w:w="1418" w:type="dxa"/>
            <w:vMerge/>
          </w:tcPr>
          <w:p w14:paraId="28F38FB6" w14:textId="77777777" w:rsidR="00B47A4A" w:rsidRPr="003A208C" w:rsidRDefault="00B47A4A" w:rsidP="003334CA">
            <w:pPr>
              <w:spacing w:after="0"/>
              <w:rPr>
                <w:rFonts w:asciiTheme="majorHAnsi" w:eastAsiaTheme="minorEastAsia" w:hAnsiTheme="majorHAnsi" w:cs="Times New Roman"/>
                <w:bCs/>
                <w:color w:val="000000"/>
                <w:lang w:eastAsia="es-ES"/>
              </w:rPr>
            </w:pPr>
          </w:p>
        </w:tc>
        <w:tc>
          <w:tcPr>
            <w:tcW w:w="3118" w:type="dxa"/>
            <w:vMerge/>
          </w:tcPr>
          <w:p w14:paraId="22DD070B" w14:textId="77777777" w:rsidR="00B47A4A" w:rsidRPr="003A208C" w:rsidRDefault="00B47A4A" w:rsidP="003334CA">
            <w:pPr>
              <w:spacing w:after="0"/>
              <w:rPr>
                <w:rFonts w:asciiTheme="majorHAnsi" w:eastAsiaTheme="minorEastAsia" w:hAnsiTheme="majorHAnsi" w:cs="Times New Roman"/>
                <w:bCs/>
                <w:color w:val="000000"/>
                <w:lang w:eastAsia="es-ES"/>
              </w:rPr>
            </w:pPr>
          </w:p>
        </w:tc>
      </w:tr>
      <w:tr w:rsidR="00971884" w:rsidRPr="003A208C" w14:paraId="47150EB7" w14:textId="77777777" w:rsidTr="00480B28">
        <w:tc>
          <w:tcPr>
            <w:tcW w:w="1833" w:type="dxa"/>
            <w:vMerge w:val="restart"/>
          </w:tcPr>
          <w:p w14:paraId="5C768B9F" w14:textId="7CE824BB" w:rsidR="00971884" w:rsidRPr="003A208C" w:rsidRDefault="00971884" w:rsidP="003334CA">
            <w:pPr>
              <w:spacing w:after="0"/>
              <w:rPr>
                <w:rFonts w:asciiTheme="majorHAnsi" w:eastAsiaTheme="minorEastAsia" w:hAnsiTheme="majorHAnsi" w:cs="Times New Roman"/>
                <w:b/>
                <w:bCs/>
                <w:color w:val="000000"/>
                <w:lang w:eastAsia="es-ES"/>
              </w:rPr>
            </w:pPr>
            <w:r w:rsidRPr="003A208C">
              <w:rPr>
                <w:rFonts w:asciiTheme="majorHAnsi" w:eastAsiaTheme="minorEastAsia" w:hAnsiTheme="majorHAnsi" w:cs="Times New Roman"/>
                <w:b/>
                <w:bCs/>
                <w:color w:val="000000"/>
                <w:lang w:eastAsia="es-ES"/>
              </w:rPr>
              <w:t>Capacidad institucional</w:t>
            </w:r>
          </w:p>
        </w:tc>
        <w:tc>
          <w:tcPr>
            <w:tcW w:w="2528" w:type="dxa"/>
          </w:tcPr>
          <w:p w14:paraId="4AD73225" w14:textId="3DBCFD35" w:rsidR="00971884" w:rsidRPr="003A208C" w:rsidRDefault="00971884" w:rsidP="004A49E2">
            <w:pPr>
              <w:spacing w:after="0"/>
              <w:jc w:val="left"/>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Relevancia político-institucional de la Unidad Ejecutora</w:t>
            </w:r>
          </w:p>
        </w:tc>
        <w:tc>
          <w:tcPr>
            <w:tcW w:w="2835" w:type="dxa"/>
          </w:tcPr>
          <w:p w14:paraId="3CAB980C" w14:textId="7C60AE8D" w:rsidR="00971884" w:rsidRPr="003A208C" w:rsidRDefault="00971884" w:rsidP="004A49E2">
            <w:pPr>
              <w:spacing w:after="0"/>
              <w:jc w:val="left"/>
              <w:rPr>
                <w:rFonts w:asciiTheme="majorHAnsi" w:eastAsia="Times New Roman" w:hAnsiTheme="majorHAnsi" w:cs="Times New Roman"/>
                <w:sz w:val="20"/>
                <w:szCs w:val="20"/>
                <w:lang w:eastAsia="es-ES"/>
              </w:rPr>
            </w:pPr>
            <w:r w:rsidRPr="003A208C">
              <w:rPr>
                <w:rFonts w:asciiTheme="majorHAnsi" w:eastAsia="Times New Roman" w:hAnsiTheme="majorHAnsi" w:cs="Times New Roman"/>
                <w:color w:val="000000"/>
                <w:sz w:val="20"/>
                <w:szCs w:val="20"/>
                <w:lang w:eastAsia="es-ES"/>
              </w:rPr>
              <w:t>La escala político institucional de la UE no se adecua a la envergadura del proyecto</w:t>
            </w:r>
          </w:p>
        </w:tc>
        <w:tc>
          <w:tcPr>
            <w:tcW w:w="1418" w:type="dxa"/>
            <w:vMerge w:val="restart"/>
          </w:tcPr>
          <w:p w14:paraId="1DF4DFB3" w14:textId="1DBDB761" w:rsidR="00971884" w:rsidRPr="003A208C" w:rsidRDefault="00971884" w:rsidP="003334CA">
            <w:pPr>
              <w:spacing w:after="0"/>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50</w:t>
            </w:r>
          </w:p>
        </w:tc>
        <w:tc>
          <w:tcPr>
            <w:tcW w:w="1417" w:type="dxa"/>
            <w:vMerge w:val="restart"/>
          </w:tcPr>
          <w:p w14:paraId="5636999D" w14:textId="71C076D9" w:rsidR="00971884" w:rsidRPr="003A208C" w:rsidRDefault="00971884" w:rsidP="003334CA">
            <w:pPr>
              <w:spacing w:after="0"/>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0.4</w:t>
            </w:r>
          </w:p>
        </w:tc>
        <w:tc>
          <w:tcPr>
            <w:tcW w:w="1418" w:type="dxa"/>
            <w:vMerge w:val="restart"/>
          </w:tcPr>
          <w:p w14:paraId="07AFEFBC" w14:textId="7FCB1FFC" w:rsidR="00971884" w:rsidRPr="003A208C" w:rsidRDefault="00971884" w:rsidP="003334CA">
            <w:pPr>
              <w:spacing w:after="0"/>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20</w:t>
            </w:r>
          </w:p>
        </w:tc>
        <w:tc>
          <w:tcPr>
            <w:tcW w:w="3118" w:type="dxa"/>
            <w:vMerge w:val="restart"/>
          </w:tcPr>
          <w:p w14:paraId="3FDCC21F" w14:textId="6D3A4937" w:rsidR="003D79F8" w:rsidRPr="003A208C" w:rsidRDefault="003D79F8" w:rsidP="003D79F8">
            <w:pPr>
              <w:widowControl w:val="0"/>
              <w:autoSpaceDE w:val="0"/>
              <w:autoSpaceDN w:val="0"/>
              <w:adjustRightInd w:val="0"/>
              <w:spacing w:after="240"/>
              <w:jc w:val="left"/>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 xml:space="preserve">Definir los roles y responsabilidades y las capacidades requeridas del personal clave y de la coordinación del proyecto, para la coordinación y articulación con los diversos actores involucrados, fundamentales para el logro de los objetivos del mismo. </w:t>
            </w:r>
          </w:p>
          <w:p w14:paraId="038CAEA8" w14:textId="53AB0229" w:rsidR="006B101F" w:rsidRPr="003A208C" w:rsidRDefault="00971884" w:rsidP="006B101F">
            <w:pPr>
              <w:spacing w:after="0"/>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Mantener la capacitación continua del personal</w:t>
            </w:r>
            <w:r w:rsidR="00E55D8B" w:rsidRPr="003A208C">
              <w:rPr>
                <w:rFonts w:asciiTheme="majorHAnsi" w:eastAsiaTheme="minorEastAsia" w:hAnsiTheme="majorHAnsi" w:cs="Times New Roman"/>
                <w:bCs/>
                <w:color w:val="000000"/>
                <w:lang w:eastAsia="es-ES"/>
              </w:rPr>
              <w:t xml:space="preserve"> y un plan de seguimiento y monitoreo del proyecto que permita la identificación temprana de riesgos</w:t>
            </w:r>
            <w:r w:rsidR="00BE62FF" w:rsidRPr="003A208C">
              <w:rPr>
                <w:rFonts w:asciiTheme="majorHAnsi" w:eastAsiaTheme="minorEastAsia" w:hAnsiTheme="majorHAnsi" w:cs="Times New Roman"/>
                <w:bCs/>
                <w:color w:val="000000"/>
                <w:lang w:eastAsia="es-ES"/>
              </w:rPr>
              <w:t>.</w:t>
            </w:r>
          </w:p>
        </w:tc>
      </w:tr>
      <w:tr w:rsidR="00971884" w:rsidRPr="003A208C" w14:paraId="37F8BF6D" w14:textId="77777777" w:rsidTr="00480B28">
        <w:tc>
          <w:tcPr>
            <w:tcW w:w="1833" w:type="dxa"/>
            <w:vMerge/>
          </w:tcPr>
          <w:p w14:paraId="0DE2585A" w14:textId="77777777" w:rsidR="00971884" w:rsidRPr="003A208C" w:rsidRDefault="00971884" w:rsidP="003334CA">
            <w:pPr>
              <w:spacing w:after="0"/>
              <w:rPr>
                <w:rFonts w:asciiTheme="majorHAnsi" w:eastAsiaTheme="minorEastAsia" w:hAnsiTheme="majorHAnsi" w:cs="Times New Roman"/>
                <w:b/>
                <w:bCs/>
                <w:color w:val="000000"/>
                <w:lang w:eastAsia="es-ES"/>
              </w:rPr>
            </w:pPr>
          </w:p>
        </w:tc>
        <w:tc>
          <w:tcPr>
            <w:tcW w:w="2528" w:type="dxa"/>
          </w:tcPr>
          <w:p w14:paraId="3F642E51" w14:textId="4F3564D1" w:rsidR="00971884" w:rsidRPr="003A208C" w:rsidRDefault="00971884" w:rsidP="004A49E2">
            <w:pPr>
              <w:spacing w:after="0"/>
              <w:jc w:val="left"/>
              <w:rPr>
                <w:rFonts w:asciiTheme="majorHAnsi" w:eastAsia="Times New Roman" w:hAnsiTheme="majorHAnsi" w:cs="Times New Roman"/>
                <w:sz w:val="20"/>
                <w:szCs w:val="20"/>
                <w:lang w:eastAsia="es-ES"/>
              </w:rPr>
            </w:pPr>
            <w:r w:rsidRPr="003A208C">
              <w:rPr>
                <w:rFonts w:asciiTheme="majorHAnsi" w:eastAsia="Times New Roman" w:hAnsiTheme="majorHAnsi" w:cs="Times New Roman"/>
                <w:color w:val="000000"/>
                <w:sz w:val="20"/>
                <w:szCs w:val="20"/>
                <w:lang w:eastAsia="es-ES"/>
              </w:rPr>
              <w:t>Capacidad operacional (RRHH, materiales)</w:t>
            </w:r>
          </w:p>
        </w:tc>
        <w:tc>
          <w:tcPr>
            <w:tcW w:w="2835" w:type="dxa"/>
          </w:tcPr>
          <w:p w14:paraId="0151A70E" w14:textId="1926D3B9" w:rsidR="00971884" w:rsidRPr="003A208C" w:rsidRDefault="00971884" w:rsidP="004A49E2">
            <w:pPr>
              <w:spacing w:after="0"/>
              <w:jc w:val="left"/>
              <w:rPr>
                <w:rFonts w:asciiTheme="majorHAnsi" w:eastAsia="Times New Roman" w:hAnsiTheme="majorHAnsi" w:cs="Times New Roman"/>
                <w:sz w:val="20"/>
                <w:szCs w:val="20"/>
                <w:lang w:eastAsia="es-ES"/>
              </w:rPr>
            </w:pPr>
            <w:r w:rsidRPr="003A208C">
              <w:rPr>
                <w:rFonts w:asciiTheme="majorHAnsi" w:eastAsia="Times New Roman" w:hAnsiTheme="majorHAnsi" w:cs="Times New Roman"/>
                <w:color w:val="000000"/>
                <w:sz w:val="20"/>
                <w:szCs w:val="20"/>
                <w:lang w:eastAsia="es-ES"/>
              </w:rPr>
              <w:t>Los recursos humanos y materiales de los que dispone el área son insuficientes</w:t>
            </w:r>
          </w:p>
        </w:tc>
        <w:tc>
          <w:tcPr>
            <w:tcW w:w="1418" w:type="dxa"/>
            <w:vMerge/>
          </w:tcPr>
          <w:p w14:paraId="34827E75" w14:textId="77777777" w:rsidR="00971884" w:rsidRPr="003A208C" w:rsidRDefault="00971884" w:rsidP="003334CA">
            <w:pPr>
              <w:spacing w:after="0"/>
              <w:rPr>
                <w:rFonts w:asciiTheme="majorHAnsi" w:eastAsiaTheme="minorEastAsia" w:hAnsiTheme="majorHAnsi" w:cs="Times New Roman"/>
                <w:bCs/>
                <w:color w:val="000000"/>
                <w:lang w:eastAsia="es-ES"/>
              </w:rPr>
            </w:pPr>
          </w:p>
        </w:tc>
        <w:tc>
          <w:tcPr>
            <w:tcW w:w="1417" w:type="dxa"/>
            <w:vMerge/>
          </w:tcPr>
          <w:p w14:paraId="0D3A1517" w14:textId="77777777" w:rsidR="00971884" w:rsidRPr="003A208C" w:rsidRDefault="00971884" w:rsidP="003334CA">
            <w:pPr>
              <w:spacing w:after="0"/>
              <w:rPr>
                <w:rFonts w:asciiTheme="majorHAnsi" w:eastAsiaTheme="minorEastAsia" w:hAnsiTheme="majorHAnsi" w:cs="Times New Roman"/>
                <w:bCs/>
                <w:color w:val="000000"/>
                <w:lang w:eastAsia="es-ES"/>
              </w:rPr>
            </w:pPr>
          </w:p>
        </w:tc>
        <w:tc>
          <w:tcPr>
            <w:tcW w:w="1418" w:type="dxa"/>
            <w:vMerge/>
          </w:tcPr>
          <w:p w14:paraId="0847D662" w14:textId="77777777" w:rsidR="00971884" w:rsidRPr="003A208C" w:rsidRDefault="00971884" w:rsidP="003334CA">
            <w:pPr>
              <w:spacing w:after="0"/>
              <w:rPr>
                <w:rFonts w:asciiTheme="majorHAnsi" w:eastAsiaTheme="minorEastAsia" w:hAnsiTheme="majorHAnsi" w:cs="Times New Roman"/>
                <w:bCs/>
                <w:color w:val="000000"/>
                <w:lang w:eastAsia="es-ES"/>
              </w:rPr>
            </w:pPr>
          </w:p>
        </w:tc>
        <w:tc>
          <w:tcPr>
            <w:tcW w:w="3118" w:type="dxa"/>
            <w:vMerge/>
          </w:tcPr>
          <w:p w14:paraId="46F82037" w14:textId="77777777" w:rsidR="00971884" w:rsidRPr="003A208C" w:rsidRDefault="00971884" w:rsidP="003334CA">
            <w:pPr>
              <w:spacing w:after="0"/>
              <w:rPr>
                <w:rFonts w:asciiTheme="majorHAnsi" w:eastAsiaTheme="minorEastAsia" w:hAnsiTheme="majorHAnsi" w:cs="Times New Roman"/>
                <w:bCs/>
                <w:color w:val="000000"/>
                <w:lang w:eastAsia="es-ES"/>
              </w:rPr>
            </w:pPr>
          </w:p>
        </w:tc>
      </w:tr>
      <w:tr w:rsidR="00971884" w:rsidRPr="003A208C" w14:paraId="60EE826F" w14:textId="77777777" w:rsidTr="00480B28">
        <w:tc>
          <w:tcPr>
            <w:tcW w:w="1833" w:type="dxa"/>
            <w:vMerge/>
          </w:tcPr>
          <w:p w14:paraId="5CD487DF" w14:textId="77777777" w:rsidR="00971884" w:rsidRPr="003A208C" w:rsidRDefault="00971884" w:rsidP="003334CA">
            <w:pPr>
              <w:spacing w:after="0"/>
              <w:rPr>
                <w:rFonts w:asciiTheme="majorHAnsi" w:eastAsiaTheme="minorEastAsia" w:hAnsiTheme="majorHAnsi" w:cs="Times New Roman"/>
                <w:b/>
                <w:bCs/>
                <w:color w:val="000000"/>
                <w:lang w:eastAsia="es-ES"/>
              </w:rPr>
            </w:pPr>
          </w:p>
        </w:tc>
        <w:tc>
          <w:tcPr>
            <w:tcW w:w="2528" w:type="dxa"/>
          </w:tcPr>
          <w:p w14:paraId="606D5698" w14:textId="14A94778" w:rsidR="00971884" w:rsidRPr="003A208C" w:rsidRDefault="00971884" w:rsidP="004A49E2">
            <w:pPr>
              <w:spacing w:after="0"/>
              <w:jc w:val="left"/>
              <w:rPr>
                <w:rFonts w:asciiTheme="majorHAnsi" w:eastAsia="Times New Roman" w:hAnsiTheme="majorHAnsi" w:cs="Times New Roman"/>
                <w:sz w:val="20"/>
                <w:szCs w:val="20"/>
                <w:lang w:eastAsia="es-ES"/>
              </w:rPr>
            </w:pPr>
            <w:r w:rsidRPr="003A208C">
              <w:rPr>
                <w:rFonts w:asciiTheme="majorHAnsi" w:eastAsia="Times New Roman" w:hAnsiTheme="majorHAnsi" w:cs="Times New Roman"/>
                <w:color w:val="000000"/>
                <w:sz w:val="20"/>
                <w:szCs w:val="20"/>
                <w:lang w:eastAsia="es-ES"/>
              </w:rPr>
              <w:t>Procedimientos internos</w:t>
            </w:r>
          </w:p>
        </w:tc>
        <w:tc>
          <w:tcPr>
            <w:tcW w:w="2835" w:type="dxa"/>
          </w:tcPr>
          <w:p w14:paraId="5D9FE43A" w14:textId="6CC76083" w:rsidR="00971884" w:rsidRPr="003A208C" w:rsidRDefault="00971884" w:rsidP="008139EA">
            <w:pPr>
              <w:spacing w:after="0"/>
              <w:ind w:left="34" w:hanging="34"/>
              <w:jc w:val="left"/>
              <w:rPr>
                <w:rFonts w:asciiTheme="majorHAnsi" w:eastAsia="Times New Roman" w:hAnsiTheme="majorHAnsi" w:cs="Times New Roman"/>
                <w:sz w:val="20"/>
                <w:szCs w:val="20"/>
                <w:lang w:eastAsia="es-ES"/>
              </w:rPr>
            </w:pPr>
            <w:r w:rsidRPr="003A208C">
              <w:rPr>
                <w:rFonts w:asciiTheme="majorHAnsi" w:eastAsia="Times New Roman" w:hAnsiTheme="majorHAnsi" w:cs="Times New Roman"/>
                <w:color w:val="000000"/>
                <w:sz w:val="20"/>
                <w:szCs w:val="20"/>
                <w:lang w:eastAsia="es-ES"/>
              </w:rPr>
              <w:t xml:space="preserve">Los procedimientos administrativos y de control interno no garantizan acabadamente la transparencia y eficiencia </w:t>
            </w:r>
          </w:p>
        </w:tc>
        <w:tc>
          <w:tcPr>
            <w:tcW w:w="1418" w:type="dxa"/>
            <w:vMerge/>
          </w:tcPr>
          <w:p w14:paraId="5A036B32" w14:textId="77777777" w:rsidR="00971884" w:rsidRPr="003A208C" w:rsidRDefault="00971884" w:rsidP="003334CA">
            <w:pPr>
              <w:spacing w:after="0"/>
              <w:rPr>
                <w:rFonts w:asciiTheme="majorHAnsi" w:eastAsiaTheme="minorEastAsia" w:hAnsiTheme="majorHAnsi" w:cs="Times New Roman"/>
                <w:bCs/>
                <w:color w:val="000000"/>
                <w:lang w:eastAsia="es-ES"/>
              </w:rPr>
            </w:pPr>
          </w:p>
        </w:tc>
        <w:tc>
          <w:tcPr>
            <w:tcW w:w="1417" w:type="dxa"/>
            <w:vMerge/>
          </w:tcPr>
          <w:p w14:paraId="50344D1B" w14:textId="77777777" w:rsidR="00971884" w:rsidRPr="003A208C" w:rsidRDefault="00971884" w:rsidP="003334CA">
            <w:pPr>
              <w:spacing w:after="0"/>
              <w:rPr>
                <w:rFonts w:asciiTheme="majorHAnsi" w:eastAsiaTheme="minorEastAsia" w:hAnsiTheme="majorHAnsi" w:cs="Times New Roman"/>
                <w:bCs/>
                <w:color w:val="000000"/>
                <w:lang w:eastAsia="es-ES"/>
              </w:rPr>
            </w:pPr>
          </w:p>
        </w:tc>
        <w:tc>
          <w:tcPr>
            <w:tcW w:w="1418" w:type="dxa"/>
            <w:vMerge/>
          </w:tcPr>
          <w:p w14:paraId="017EECE3" w14:textId="77777777" w:rsidR="00971884" w:rsidRPr="003A208C" w:rsidRDefault="00971884" w:rsidP="003334CA">
            <w:pPr>
              <w:spacing w:after="0"/>
              <w:rPr>
                <w:rFonts w:asciiTheme="majorHAnsi" w:eastAsiaTheme="minorEastAsia" w:hAnsiTheme="majorHAnsi" w:cs="Times New Roman"/>
                <w:bCs/>
                <w:color w:val="000000"/>
                <w:lang w:eastAsia="es-ES"/>
              </w:rPr>
            </w:pPr>
          </w:p>
        </w:tc>
        <w:tc>
          <w:tcPr>
            <w:tcW w:w="3118" w:type="dxa"/>
            <w:vMerge/>
          </w:tcPr>
          <w:p w14:paraId="7D527F67" w14:textId="77777777" w:rsidR="00971884" w:rsidRPr="003A208C" w:rsidRDefault="00971884" w:rsidP="003334CA">
            <w:pPr>
              <w:spacing w:after="0"/>
              <w:rPr>
                <w:rFonts w:asciiTheme="majorHAnsi" w:eastAsiaTheme="minorEastAsia" w:hAnsiTheme="majorHAnsi" w:cs="Times New Roman"/>
                <w:bCs/>
                <w:color w:val="000000"/>
                <w:lang w:eastAsia="es-ES"/>
              </w:rPr>
            </w:pPr>
          </w:p>
        </w:tc>
      </w:tr>
      <w:tr w:rsidR="00CA5315" w:rsidRPr="003A208C" w14:paraId="4E2DF12B" w14:textId="77777777" w:rsidTr="00480B28">
        <w:trPr>
          <w:trHeight w:val="26"/>
        </w:trPr>
        <w:tc>
          <w:tcPr>
            <w:tcW w:w="1833" w:type="dxa"/>
            <w:vMerge w:val="restart"/>
          </w:tcPr>
          <w:p w14:paraId="390ED6FC" w14:textId="15481B54" w:rsidR="00CA5315" w:rsidRPr="003A208C" w:rsidRDefault="00CA5315" w:rsidP="003334CA">
            <w:pPr>
              <w:spacing w:after="0"/>
              <w:rPr>
                <w:rFonts w:asciiTheme="majorHAnsi" w:eastAsiaTheme="minorEastAsia" w:hAnsiTheme="majorHAnsi" w:cs="Times New Roman"/>
                <w:b/>
                <w:bCs/>
                <w:color w:val="000000"/>
                <w:lang w:eastAsia="es-ES"/>
              </w:rPr>
            </w:pPr>
            <w:r w:rsidRPr="003A208C">
              <w:rPr>
                <w:rFonts w:asciiTheme="majorHAnsi" w:eastAsiaTheme="minorEastAsia" w:hAnsiTheme="majorHAnsi" w:cs="Times New Roman"/>
                <w:b/>
                <w:bCs/>
                <w:color w:val="000000"/>
                <w:lang w:eastAsia="es-ES"/>
              </w:rPr>
              <w:t>Complejidad del proyecto</w:t>
            </w:r>
          </w:p>
        </w:tc>
        <w:tc>
          <w:tcPr>
            <w:tcW w:w="2528" w:type="dxa"/>
          </w:tcPr>
          <w:p w14:paraId="095A424A" w14:textId="0A4D18EC" w:rsidR="00CA5315" w:rsidRPr="003A208C" w:rsidRDefault="00CA5315" w:rsidP="004A49E2">
            <w:pPr>
              <w:spacing w:after="0"/>
              <w:jc w:val="left"/>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Presupuesto total</w:t>
            </w:r>
          </w:p>
        </w:tc>
        <w:tc>
          <w:tcPr>
            <w:tcW w:w="2835" w:type="dxa"/>
            <w:vMerge w:val="restart"/>
          </w:tcPr>
          <w:p w14:paraId="66ADC1F5" w14:textId="5EECCF30" w:rsidR="00CA5315" w:rsidRPr="003A208C" w:rsidRDefault="00CA5315" w:rsidP="008139EA">
            <w:pPr>
              <w:spacing w:after="0"/>
              <w:jc w:val="left"/>
              <w:rPr>
                <w:rFonts w:asciiTheme="majorHAnsi" w:eastAsia="Times New Roman" w:hAnsiTheme="majorHAnsi" w:cs="Times New Roman"/>
                <w:sz w:val="20"/>
                <w:szCs w:val="20"/>
                <w:lang w:eastAsia="es-ES"/>
              </w:rPr>
            </w:pPr>
            <w:r w:rsidRPr="003A208C">
              <w:rPr>
                <w:rFonts w:asciiTheme="majorHAnsi" w:eastAsia="Times New Roman" w:hAnsiTheme="majorHAnsi" w:cs="Times New Roman"/>
                <w:color w:val="000000"/>
                <w:sz w:val="20"/>
                <w:szCs w:val="20"/>
                <w:lang w:eastAsia="es-ES"/>
              </w:rPr>
              <w:t>La complejidad del proyecto, por la cantidad de actores involucrados y/o la envergadura y cantidad de operaciones resulta de difícil ejecución dentro de los plazos previstos y / o con los recursos disponibles (institucionales, financieros, humanos, etc.)</w:t>
            </w:r>
          </w:p>
        </w:tc>
        <w:tc>
          <w:tcPr>
            <w:tcW w:w="1418" w:type="dxa"/>
            <w:vMerge w:val="restart"/>
          </w:tcPr>
          <w:p w14:paraId="32F6D33C" w14:textId="5B118012" w:rsidR="00CA5315" w:rsidRPr="003A208C" w:rsidRDefault="00CA5315" w:rsidP="003334CA">
            <w:pPr>
              <w:spacing w:after="0"/>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30</w:t>
            </w:r>
          </w:p>
        </w:tc>
        <w:tc>
          <w:tcPr>
            <w:tcW w:w="1417" w:type="dxa"/>
            <w:vMerge w:val="restart"/>
          </w:tcPr>
          <w:p w14:paraId="4212689B" w14:textId="456CE504" w:rsidR="00CA5315" w:rsidRPr="003A208C" w:rsidRDefault="00CA5315" w:rsidP="003334CA">
            <w:pPr>
              <w:spacing w:after="0"/>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0.8</w:t>
            </w:r>
          </w:p>
        </w:tc>
        <w:tc>
          <w:tcPr>
            <w:tcW w:w="1418" w:type="dxa"/>
            <w:vMerge w:val="restart"/>
          </w:tcPr>
          <w:p w14:paraId="5743EAE8" w14:textId="75340B79" w:rsidR="00CA5315" w:rsidRPr="003A208C" w:rsidRDefault="00CA5315" w:rsidP="003334CA">
            <w:pPr>
              <w:spacing w:after="0"/>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24</w:t>
            </w:r>
          </w:p>
        </w:tc>
        <w:tc>
          <w:tcPr>
            <w:tcW w:w="3118" w:type="dxa"/>
            <w:vMerge w:val="restart"/>
          </w:tcPr>
          <w:p w14:paraId="4FE73FA3" w14:textId="2431FFD7" w:rsidR="00CA5315" w:rsidRPr="003A208C" w:rsidRDefault="00CA5315" w:rsidP="003D79F8">
            <w:pPr>
              <w:widowControl w:val="0"/>
              <w:autoSpaceDE w:val="0"/>
              <w:autoSpaceDN w:val="0"/>
              <w:adjustRightInd w:val="0"/>
              <w:spacing w:after="240"/>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Realizar un seguimiento estrecho del cumplimiento de los tiempos definidos para cada uno de los procesos de adquisiciones, particularmente los de mayor envergadura</w:t>
            </w:r>
            <w:r w:rsidR="003D79F8" w:rsidRPr="003A208C">
              <w:rPr>
                <w:rFonts w:asciiTheme="majorHAnsi" w:eastAsiaTheme="minorEastAsia" w:hAnsiTheme="majorHAnsi" w:cs="Times New Roman"/>
                <w:bCs/>
                <w:color w:val="000000"/>
                <w:lang w:eastAsia="es-ES"/>
              </w:rPr>
              <w:t>.</w:t>
            </w:r>
          </w:p>
          <w:p w14:paraId="6397B5FF" w14:textId="26202D5F" w:rsidR="00CA5315" w:rsidRPr="003A208C" w:rsidRDefault="00CA5315" w:rsidP="003334CA">
            <w:pPr>
              <w:spacing w:after="0"/>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Garantizar la unificación de prioridades y las instancias de articulación y comunicación con otras áreas involucradas.</w:t>
            </w:r>
          </w:p>
        </w:tc>
      </w:tr>
      <w:tr w:rsidR="00CA5315" w:rsidRPr="003A208C" w14:paraId="44E968C4" w14:textId="77777777" w:rsidTr="00480B28">
        <w:trPr>
          <w:trHeight w:val="21"/>
        </w:trPr>
        <w:tc>
          <w:tcPr>
            <w:tcW w:w="1833" w:type="dxa"/>
            <w:vMerge/>
          </w:tcPr>
          <w:p w14:paraId="26714E35" w14:textId="77777777" w:rsidR="00CA5315" w:rsidRPr="003A208C" w:rsidRDefault="00CA5315" w:rsidP="003334CA">
            <w:pPr>
              <w:spacing w:after="0"/>
              <w:rPr>
                <w:rFonts w:asciiTheme="majorHAnsi" w:eastAsiaTheme="minorEastAsia" w:hAnsiTheme="majorHAnsi" w:cs="Times New Roman"/>
                <w:b/>
                <w:bCs/>
                <w:color w:val="000000"/>
                <w:lang w:eastAsia="es-ES"/>
              </w:rPr>
            </w:pPr>
          </w:p>
        </w:tc>
        <w:tc>
          <w:tcPr>
            <w:tcW w:w="2528" w:type="dxa"/>
          </w:tcPr>
          <w:p w14:paraId="63D2049E" w14:textId="3DD55043" w:rsidR="00CA5315" w:rsidRPr="003A208C" w:rsidRDefault="00CA5315" w:rsidP="004A49E2">
            <w:pPr>
              <w:spacing w:after="0"/>
              <w:jc w:val="left"/>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Cantidad de transacciones</w:t>
            </w:r>
          </w:p>
        </w:tc>
        <w:tc>
          <w:tcPr>
            <w:tcW w:w="2835" w:type="dxa"/>
            <w:vMerge/>
          </w:tcPr>
          <w:p w14:paraId="0B08188A" w14:textId="77777777" w:rsidR="00CA5315" w:rsidRPr="003A208C" w:rsidRDefault="00CA5315" w:rsidP="003334CA">
            <w:pPr>
              <w:spacing w:after="0"/>
              <w:rPr>
                <w:rFonts w:asciiTheme="majorHAnsi" w:eastAsiaTheme="minorEastAsia" w:hAnsiTheme="majorHAnsi" w:cs="Times New Roman"/>
                <w:bCs/>
                <w:color w:val="000000"/>
                <w:lang w:eastAsia="es-ES"/>
              </w:rPr>
            </w:pPr>
          </w:p>
        </w:tc>
        <w:tc>
          <w:tcPr>
            <w:tcW w:w="1418" w:type="dxa"/>
            <w:vMerge/>
          </w:tcPr>
          <w:p w14:paraId="50A21244" w14:textId="77777777" w:rsidR="00CA5315" w:rsidRPr="003A208C" w:rsidRDefault="00CA5315" w:rsidP="003334CA">
            <w:pPr>
              <w:spacing w:after="0"/>
              <w:rPr>
                <w:rFonts w:asciiTheme="majorHAnsi" w:eastAsiaTheme="minorEastAsia" w:hAnsiTheme="majorHAnsi" w:cs="Times New Roman"/>
                <w:bCs/>
                <w:color w:val="000000"/>
                <w:lang w:eastAsia="es-ES"/>
              </w:rPr>
            </w:pPr>
          </w:p>
        </w:tc>
        <w:tc>
          <w:tcPr>
            <w:tcW w:w="1417" w:type="dxa"/>
            <w:vMerge/>
          </w:tcPr>
          <w:p w14:paraId="74A39404" w14:textId="77777777" w:rsidR="00CA5315" w:rsidRPr="003A208C" w:rsidRDefault="00CA5315" w:rsidP="003334CA">
            <w:pPr>
              <w:spacing w:after="0"/>
              <w:rPr>
                <w:rFonts w:asciiTheme="majorHAnsi" w:eastAsiaTheme="minorEastAsia" w:hAnsiTheme="majorHAnsi" w:cs="Times New Roman"/>
                <w:bCs/>
                <w:color w:val="000000"/>
                <w:lang w:eastAsia="es-ES"/>
              </w:rPr>
            </w:pPr>
          </w:p>
        </w:tc>
        <w:tc>
          <w:tcPr>
            <w:tcW w:w="1418" w:type="dxa"/>
            <w:vMerge/>
          </w:tcPr>
          <w:p w14:paraId="42724B13" w14:textId="77777777" w:rsidR="00CA5315" w:rsidRPr="003A208C" w:rsidRDefault="00CA5315" w:rsidP="003334CA">
            <w:pPr>
              <w:spacing w:after="0"/>
              <w:rPr>
                <w:rFonts w:asciiTheme="majorHAnsi" w:eastAsiaTheme="minorEastAsia" w:hAnsiTheme="majorHAnsi" w:cs="Times New Roman"/>
                <w:bCs/>
                <w:color w:val="000000"/>
                <w:lang w:eastAsia="es-ES"/>
              </w:rPr>
            </w:pPr>
          </w:p>
        </w:tc>
        <w:tc>
          <w:tcPr>
            <w:tcW w:w="3118" w:type="dxa"/>
            <w:vMerge/>
          </w:tcPr>
          <w:p w14:paraId="35B6E7DA" w14:textId="77777777" w:rsidR="00CA5315" w:rsidRPr="003A208C" w:rsidRDefault="00CA5315" w:rsidP="003334CA">
            <w:pPr>
              <w:spacing w:after="0"/>
              <w:rPr>
                <w:rFonts w:asciiTheme="majorHAnsi" w:eastAsiaTheme="minorEastAsia" w:hAnsiTheme="majorHAnsi" w:cs="Times New Roman"/>
                <w:bCs/>
                <w:color w:val="000000"/>
                <w:lang w:eastAsia="es-ES"/>
              </w:rPr>
            </w:pPr>
          </w:p>
        </w:tc>
      </w:tr>
      <w:tr w:rsidR="00CA5315" w:rsidRPr="003A208C" w14:paraId="0A4FBFB3" w14:textId="77777777" w:rsidTr="00480B28">
        <w:trPr>
          <w:trHeight w:val="21"/>
        </w:trPr>
        <w:tc>
          <w:tcPr>
            <w:tcW w:w="1833" w:type="dxa"/>
            <w:vMerge/>
          </w:tcPr>
          <w:p w14:paraId="4965077C" w14:textId="77777777" w:rsidR="00CA5315" w:rsidRPr="003A208C" w:rsidRDefault="00CA5315" w:rsidP="003334CA">
            <w:pPr>
              <w:spacing w:after="0"/>
              <w:rPr>
                <w:rFonts w:asciiTheme="majorHAnsi" w:eastAsiaTheme="minorEastAsia" w:hAnsiTheme="majorHAnsi" w:cs="Times New Roman"/>
                <w:b/>
                <w:bCs/>
                <w:color w:val="000000"/>
                <w:lang w:eastAsia="es-ES"/>
              </w:rPr>
            </w:pPr>
          </w:p>
        </w:tc>
        <w:tc>
          <w:tcPr>
            <w:tcW w:w="2528" w:type="dxa"/>
          </w:tcPr>
          <w:p w14:paraId="43DD098C" w14:textId="4A96F240" w:rsidR="00CA5315" w:rsidRPr="003A208C" w:rsidRDefault="00CA5315" w:rsidP="003334CA">
            <w:pPr>
              <w:spacing w:after="0"/>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Cantidad de adquisiciones mayores a 100.000 USD</w:t>
            </w:r>
          </w:p>
        </w:tc>
        <w:tc>
          <w:tcPr>
            <w:tcW w:w="2835" w:type="dxa"/>
            <w:vMerge/>
          </w:tcPr>
          <w:p w14:paraId="11C4101C" w14:textId="77777777" w:rsidR="00CA5315" w:rsidRPr="003A208C" w:rsidRDefault="00CA5315" w:rsidP="003334CA">
            <w:pPr>
              <w:spacing w:after="0"/>
              <w:rPr>
                <w:rFonts w:asciiTheme="majorHAnsi" w:eastAsiaTheme="minorEastAsia" w:hAnsiTheme="majorHAnsi" w:cs="Times New Roman"/>
                <w:bCs/>
                <w:color w:val="000000"/>
                <w:lang w:eastAsia="es-ES"/>
              </w:rPr>
            </w:pPr>
          </w:p>
        </w:tc>
        <w:tc>
          <w:tcPr>
            <w:tcW w:w="1418" w:type="dxa"/>
            <w:vMerge/>
          </w:tcPr>
          <w:p w14:paraId="29AACA41" w14:textId="77777777" w:rsidR="00CA5315" w:rsidRPr="003A208C" w:rsidRDefault="00CA5315" w:rsidP="003334CA">
            <w:pPr>
              <w:spacing w:after="0"/>
              <w:rPr>
                <w:rFonts w:asciiTheme="majorHAnsi" w:eastAsiaTheme="minorEastAsia" w:hAnsiTheme="majorHAnsi" w:cs="Times New Roman"/>
                <w:bCs/>
                <w:color w:val="000000"/>
                <w:lang w:eastAsia="es-ES"/>
              </w:rPr>
            </w:pPr>
          </w:p>
        </w:tc>
        <w:tc>
          <w:tcPr>
            <w:tcW w:w="1417" w:type="dxa"/>
            <w:vMerge/>
          </w:tcPr>
          <w:p w14:paraId="181DEF6A" w14:textId="77777777" w:rsidR="00CA5315" w:rsidRPr="003A208C" w:rsidRDefault="00CA5315" w:rsidP="003334CA">
            <w:pPr>
              <w:spacing w:after="0"/>
              <w:rPr>
                <w:rFonts w:asciiTheme="majorHAnsi" w:eastAsiaTheme="minorEastAsia" w:hAnsiTheme="majorHAnsi" w:cs="Times New Roman"/>
                <w:bCs/>
                <w:color w:val="000000"/>
                <w:lang w:eastAsia="es-ES"/>
              </w:rPr>
            </w:pPr>
          </w:p>
        </w:tc>
        <w:tc>
          <w:tcPr>
            <w:tcW w:w="1418" w:type="dxa"/>
            <w:vMerge/>
          </w:tcPr>
          <w:p w14:paraId="4F767A24" w14:textId="77777777" w:rsidR="00CA5315" w:rsidRPr="003A208C" w:rsidRDefault="00CA5315" w:rsidP="003334CA">
            <w:pPr>
              <w:spacing w:after="0"/>
              <w:rPr>
                <w:rFonts w:asciiTheme="majorHAnsi" w:eastAsiaTheme="minorEastAsia" w:hAnsiTheme="majorHAnsi" w:cs="Times New Roman"/>
                <w:bCs/>
                <w:color w:val="000000"/>
                <w:lang w:eastAsia="es-ES"/>
              </w:rPr>
            </w:pPr>
          </w:p>
        </w:tc>
        <w:tc>
          <w:tcPr>
            <w:tcW w:w="3118" w:type="dxa"/>
            <w:vMerge/>
          </w:tcPr>
          <w:p w14:paraId="0F389F9B" w14:textId="77777777" w:rsidR="00CA5315" w:rsidRPr="003A208C" w:rsidRDefault="00CA5315" w:rsidP="003334CA">
            <w:pPr>
              <w:spacing w:after="0"/>
              <w:rPr>
                <w:rFonts w:asciiTheme="majorHAnsi" w:eastAsiaTheme="minorEastAsia" w:hAnsiTheme="majorHAnsi" w:cs="Times New Roman"/>
                <w:bCs/>
                <w:color w:val="000000"/>
                <w:lang w:eastAsia="es-ES"/>
              </w:rPr>
            </w:pPr>
          </w:p>
        </w:tc>
      </w:tr>
      <w:tr w:rsidR="00CA5315" w:rsidRPr="003A208C" w14:paraId="6B02CD01" w14:textId="77777777" w:rsidTr="00480B28">
        <w:trPr>
          <w:trHeight w:val="21"/>
        </w:trPr>
        <w:tc>
          <w:tcPr>
            <w:tcW w:w="1833" w:type="dxa"/>
            <w:vMerge/>
          </w:tcPr>
          <w:p w14:paraId="3079E6F5" w14:textId="77777777" w:rsidR="00CA5315" w:rsidRPr="003A208C" w:rsidRDefault="00CA5315" w:rsidP="003334CA">
            <w:pPr>
              <w:spacing w:after="0"/>
              <w:rPr>
                <w:rFonts w:asciiTheme="majorHAnsi" w:eastAsiaTheme="minorEastAsia" w:hAnsiTheme="majorHAnsi" w:cs="Times New Roman"/>
                <w:b/>
                <w:bCs/>
                <w:color w:val="000000"/>
                <w:lang w:eastAsia="es-ES"/>
              </w:rPr>
            </w:pPr>
          </w:p>
        </w:tc>
        <w:tc>
          <w:tcPr>
            <w:tcW w:w="2528" w:type="dxa"/>
          </w:tcPr>
          <w:p w14:paraId="4F9E0FEE" w14:textId="39DB0155" w:rsidR="00CA5315" w:rsidRPr="003A208C" w:rsidRDefault="00CA5315" w:rsidP="003334CA">
            <w:pPr>
              <w:spacing w:after="0"/>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Modalidad de ejecución</w:t>
            </w:r>
          </w:p>
        </w:tc>
        <w:tc>
          <w:tcPr>
            <w:tcW w:w="2835" w:type="dxa"/>
            <w:vMerge/>
          </w:tcPr>
          <w:p w14:paraId="7DD60FDF" w14:textId="77777777" w:rsidR="00CA5315" w:rsidRPr="003A208C" w:rsidRDefault="00CA5315" w:rsidP="003334CA">
            <w:pPr>
              <w:spacing w:after="0"/>
              <w:rPr>
                <w:rFonts w:asciiTheme="majorHAnsi" w:eastAsiaTheme="minorEastAsia" w:hAnsiTheme="majorHAnsi" w:cs="Times New Roman"/>
                <w:bCs/>
                <w:color w:val="000000"/>
                <w:lang w:eastAsia="es-ES"/>
              </w:rPr>
            </w:pPr>
          </w:p>
        </w:tc>
        <w:tc>
          <w:tcPr>
            <w:tcW w:w="1418" w:type="dxa"/>
            <w:vMerge/>
          </w:tcPr>
          <w:p w14:paraId="182BEC3A" w14:textId="77777777" w:rsidR="00CA5315" w:rsidRPr="003A208C" w:rsidRDefault="00CA5315" w:rsidP="003334CA">
            <w:pPr>
              <w:spacing w:after="0"/>
              <w:rPr>
                <w:rFonts w:asciiTheme="majorHAnsi" w:eastAsiaTheme="minorEastAsia" w:hAnsiTheme="majorHAnsi" w:cs="Times New Roman"/>
                <w:bCs/>
                <w:color w:val="000000"/>
                <w:lang w:eastAsia="es-ES"/>
              </w:rPr>
            </w:pPr>
          </w:p>
        </w:tc>
        <w:tc>
          <w:tcPr>
            <w:tcW w:w="1417" w:type="dxa"/>
            <w:vMerge/>
          </w:tcPr>
          <w:p w14:paraId="68123D9E" w14:textId="77777777" w:rsidR="00CA5315" w:rsidRPr="003A208C" w:rsidRDefault="00CA5315" w:rsidP="003334CA">
            <w:pPr>
              <w:spacing w:after="0"/>
              <w:rPr>
                <w:rFonts w:asciiTheme="majorHAnsi" w:eastAsiaTheme="minorEastAsia" w:hAnsiTheme="majorHAnsi" w:cs="Times New Roman"/>
                <w:bCs/>
                <w:color w:val="000000"/>
                <w:lang w:eastAsia="es-ES"/>
              </w:rPr>
            </w:pPr>
          </w:p>
        </w:tc>
        <w:tc>
          <w:tcPr>
            <w:tcW w:w="1418" w:type="dxa"/>
            <w:vMerge/>
          </w:tcPr>
          <w:p w14:paraId="1ED2BA5B" w14:textId="77777777" w:rsidR="00CA5315" w:rsidRPr="003A208C" w:rsidRDefault="00CA5315" w:rsidP="003334CA">
            <w:pPr>
              <w:spacing w:after="0"/>
              <w:rPr>
                <w:rFonts w:asciiTheme="majorHAnsi" w:eastAsiaTheme="minorEastAsia" w:hAnsiTheme="majorHAnsi" w:cs="Times New Roman"/>
                <w:bCs/>
                <w:color w:val="000000"/>
                <w:lang w:eastAsia="es-ES"/>
              </w:rPr>
            </w:pPr>
          </w:p>
        </w:tc>
        <w:tc>
          <w:tcPr>
            <w:tcW w:w="3118" w:type="dxa"/>
            <w:vMerge/>
          </w:tcPr>
          <w:p w14:paraId="1543F460" w14:textId="77777777" w:rsidR="00CA5315" w:rsidRPr="003A208C" w:rsidRDefault="00CA5315" w:rsidP="003334CA">
            <w:pPr>
              <w:spacing w:after="0"/>
              <w:rPr>
                <w:rFonts w:asciiTheme="majorHAnsi" w:eastAsiaTheme="minorEastAsia" w:hAnsiTheme="majorHAnsi" w:cs="Times New Roman"/>
                <w:bCs/>
                <w:color w:val="000000"/>
                <w:lang w:eastAsia="es-ES"/>
              </w:rPr>
            </w:pPr>
          </w:p>
        </w:tc>
      </w:tr>
      <w:tr w:rsidR="00CA5315" w:rsidRPr="003A208C" w14:paraId="71F9D993" w14:textId="77777777" w:rsidTr="00480B28">
        <w:trPr>
          <w:trHeight w:val="21"/>
        </w:trPr>
        <w:tc>
          <w:tcPr>
            <w:tcW w:w="1833" w:type="dxa"/>
            <w:vMerge/>
          </w:tcPr>
          <w:p w14:paraId="657FA02A" w14:textId="77777777" w:rsidR="00CA5315" w:rsidRPr="003A208C" w:rsidRDefault="00CA5315" w:rsidP="003334CA">
            <w:pPr>
              <w:spacing w:after="0"/>
              <w:rPr>
                <w:rFonts w:asciiTheme="majorHAnsi" w:eastAsiaTheme="minorEastAsia" w:hAnsiTheme="majorHAnsi" w:cs="Times New Roman"/>
                <w:b/>
                <w:bCs/>
                <w:color w:val="000000"/>
                <w:lang w:eastAsia="es-ES"/>
              </w:rPr>
            </w:pPr>
          </w:p>
        </w:tc>
        <w:tc>
          <w:tcPr>
            <w:tcW w:w="2528" w:type="dxa"/>
          </w:tcPr>
          <w:p w14:paraId="6C304E63" w14:textId="261C6CD4" w:rsidR="00CA5315" w:rsidRPr="003A208C" w:rsidRDefault="00CA5315" w:rsidP="003334CA">
            <w:pPr>
              <w:spacing w:after="0"/>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Número de áreas gubernamentales involucradas</w:t>
            </w:r>
          </w:p>
        </w:tc>
        <w:tc>
          <w:tcPr>
            <w:tcW w:w="2835" w:type="dxa"/>
            <w:vMerge/>
          </w:tcPr>
          <w:p w14:paraId="143C11B8" w14:textId="77777777" w:rsidR="00CA5315" w:rsidRPr="003A208C" w:rsidRDefault="00CA5315" w:rsidP="003334CA">
            <w:pPr>
              <w:spacing w:after="0"/>
              <w:rPr>
                <w:rFonts w:asciiTheme="majorHAnsi" w:eastAsiaTheme="minorEastAsia" w:hAnsiTheme="majorHAnsi" w:cs="Times New Roman"/>
                <w:bCs/>
                <w:color w:val="000000"/>
                <w:lang w:eastAsia="es-ES"/>
              </w:rPr>
            </w:pPr>
          </w:p>
        </w:tc>
        <w:tc>
          <w:tcPr>
            <w:tcW w:w="1418" w:type="dxa"/>
            <w:vMerge/>
          </w:tcPr>
          <w:p w14:paraId="5F808D18" w14:textId="77777777" w:rsidR="00CA5315" w:rsidRPr="003A208C" w:rsidRDefault="00CA5315" w:rsidP="003334CA">
            <w:pPr>
              <w:spacing w:after="0"/>
              <w:rPr>
                <w:rFonts w:asciiTheme="majorHAnsi" w:eastAsiaTheme="minorEastAsia" w:hAnsiTheme="majorHAnsi" w:cs="Times New Roman"/>
                <w:bCs/>
                <w:color w:val="000000"/>
                <w:lang w:eastAsia="es-ES"/>
              </w:rPr>
            </w:pPr>
          </w:p>
        </w:tc>
        <w:tc>
          <w:tcPr>
            <w:tcW w:w="1417" w:type="dxa"/>
            <w:vMerge/>
          </w:tcPr>
          <w:p w14:paraId="61B1B5F9" w14:textId="77777777" w:rsidR="00CA5315" w:rsidRPr="003A208C" w:rsidRDefault="00CA5315" w:rsidP="003334CA">
            <w:pPr>
              <w:spacing w:after="0"/>
              <w:rPr>
                <w:rFonts w:asciiTheme="majorHAnsi" w:eastAsiaTheme="minorEastAsia" w:hAnsiTheme="majorHAnsi" w:cs="Times New Roman"/>
                <w:bCs/>
                <w:color w:val="000000"/>
                <w:lang w:eastAsia="es-ES"/>
              </w:rPr>
            </w:pPr>
          </w:p>
        </w:tc>
        <w:tc>
          <w:tcPr>
            <w:tcW w:w="1418" w:type="dxa"/>
            <w:vMerge/>
          </w:tcPr>
          <w:p w14:paraId="799EECA4" w14:textId="77777777" w:rsidR="00CA5315" w:rsidRPr="003A208C" w:rsidRDefault="00CA5315" w:rsidP="003334CA">
            <w:pPr>
              <w:spacing w:after="0"/>
              <w:rPr>
                <w:rFonts w:asciiTheme="majorHAnsi" w:eastAsiaTheme="minorEastAsia" w:hAnsiTheme="majorHAnsi" w:cs="Times New Roman"/>
                <w:bCs/>
                <w:color w:val="000000"/>
                <w:lang w:eastAsia="es-ES"/>
              </w:rPr>
            </w:pPr>
          </w:p>
        </w:tc>
        <w:tc>
          <w:tcPr>
            <w:tcW w:w="3118" w:type="dxa"/>
            <w:vMerge/>
          </w:tcPr>
          <w:p w14:paraId="60E951F4" w14:textId="04CBAD5A" w:rsidR="00CA5315" w:rsidRPr="003A208C" w:rsidRDefault="00CA5315" w:rsidP="003334CA">
            <w:pPr>
              <w:spacing w:after="0"/>
              <w:rPr>
                <w:rFonts w:asciiTheme="majorHAnsi" w:eastAsiaTheme="minorEastAsia" w:hAnsiTheme="majorHAnsi" w:cs="Times New Roman"/>
                <w:bCs/>
                <w:color w:val="000000"/>
                <w:lang w:eastAsia="es-ES"/>
              </w:rPr>
            </w:pPr>
          </w:p>
        </w:tc>
      </w:tr>
      <w:tr w:rsidR="00CA5315" w:rsidRPr="003A208C" w14:paraId="3BDE2B70" w14:textId="77777777" w:rsidTr="00480B28">
        <w:trPr>
          <w:trHeight w:val="21"/>
        </w:trPr>
        <w:tc>
          <w:tcPr>
            <w:tcW w:w="1833" w:type="dxa"/>
            <w:vMerge/>
          </w:tcPr>
          <w:p w14:paraId="191CD7BD" w14:textId="77777777" w:rsidR="00CA5315" w:rsidRPr="003A208C" w:rsidRDefault="00CA5315" w:rsidP="003334CA">
            <w:pPr>
              <w:spacing w:after="0"/>
              <w:rPr>
                <w:rFonts w:asciiTheme="majorHAnsi" w:eastAsiaTheme="minorEastAsia" w:hAnsiTheme="majorHAnsi" w:cs="Times New Roman"/>
                <w:b/>
                <w:bCs/>
                <w:color w:val="000000"/>
                <w:lang w:eastAsia="es-ES"/>
              </w:rPr>
            </w:pPr>
          </w:p>
        </w:tc>
        <w:tc>
          <w:tcPr>
            <w:tcW w:w="2528" w:type="dxa"/>
          </w:tcPr>
          <w:p w14:paraId="028D208A" w14:textId="3569555A" w:rsidR="00CA5315" w:rsidRPr="003A208C" w:rsidRDefault="00CA5315" w:rsidP="003334CA">
            <w:pPr>
              <w:spacing w:after="0"/>
              <w:rPr>
                <w:rFonts w:asciiTheme="majorHAnsi" w:eastAsiaTheme="minorEastAsia" w:hAnsiTheme="majorHAnsi" w:cs="Times New Roman"/>
                <w:bCs/>
                <w:color w:val="000000"/>
                <w:lang w:eastAsia="es-ES"/>
              </w:rPr>
            </w:pPr>
            <w:r w:rsidRPr="003A208C">
              <w:rPr>
                <w:rFonts w:asciiTheme="majorHAnsi" w:eastAsiaTheme="minorEastAsia" w:hAnsiTheme="majorHAnsi" w:cs="Times New Roman"/>
                <w:bCs/>
                <w:color w:val="000000"/>
                <w:lang w:eastAsia="es-ES"/>
              </w:rPr>
              <w:t>Número de jurisdicciones involucradas</w:t>
            </w:r>
          </w:p>
        </w:tc>
        <w:tc>
          <w:tcPr>
            <w:tcW w:w="2835" w:type="dxa"/>
            <w:vMerge/>
          </w:tcPr>
          <w:p w14:paraId="7B260E6B" w14:textId="77777777" w:rsidR="00CA5315" w:rsidRPr="003A208C" w:rsidRDefault="00CA5315" w:rsidP="003334CA">
            <w:pPr>
              <w:spacing w:after="0"/>
              <w:rPr>
                <w:rFonts w:asciiTheme="majorHAnsi" w:eastAsiaTheme="minorEastAsia" w:hAnsiTheme="majorHAnsi" w:cs="Times New Roman"/>
                <w:bCs/>
                <w:color w:val="000000"/>
                <w:lang w:eastAsia="es-ES"/>
              </w:rPr>
            </w:pPr>
          </w:p>
        </w:tc>
        <w:tc>
          <w:tcPr>
            <w:tcW w:w="1418" w:type="dxa"/>
            <w:vMerge/>
          </w:tcPr>
          <w:p w14:paraId="7E04193A" w14:textId="77777777" w:rsidR="00CA5315" w:rsidRPr="003A208C" w:rsidRDefault="00CA5315" w:rsidP="003334CA">
            <w:pPr>
              <w:spacing w:after="0"/>
              <w:rPr>
                <w:rFonts w:asciiTheme="majorHAnsi" w:eastAsiaTheme="minorEastAsia" w:hAnsiTheme="majorHAnsi" w:cs="Times New Roman"/>
                <w:bCs/>
                <w:color w:val="000000"/>
                <w:lang w:eastAsia="es-ES"/>
              </w:rPr>
            </w:pPr>
          </w:p>
        </w:tc>
        <w:tc>
          <w:tcPr>
            <w:tcW w:w="1417" w:type="dxa"/>
            <w:vMerge/>
          </w:tcPr>
          <w:p w14:paraId="7E48CEA9" w14:textId="77777777" w:rsidR="00CA5315" w:rsidRPr="003A208C" w:rsidRDefault="00CA5315" w:rsidP="003334CA">
            <w:pPr>
              <w:spacing w:after="0"/>
              <w:rPr>
                <w:rFonts w:asciiTheme="majorHAnsi" w:eastAsiaTheme="minorEastAsia" w:hAnsiTheme="majorHAnsi" w:cs="Times New Roman"/>
                <w:bCs/>
                <w:color w:val="000000"/>
                <w:lang w:eastAsia="es-ES"/>
              </w:rPr>
            </w:pPr>
          </w:p>
        </w:tc>
        <w:tc>
          <w:tcPr>
            <w:tcW w:w="1418" w:type="dxa"/>
            <w:vMerge/>
          </w:tcPr>
          <w:p w14:paraId="4A2D2EB1" w14:textId="77777777" w:rsidR="00CA5315" w:rsidRPr="003A208C" w:rsidRDefault="00CA5315" w:rsidP="003334CA">
            <w:pPr>
              <w:spacing w:after="0"/>
              <w:rPr>
                <w:rFonts w:asciiTheme="majorHAnsi" w:eastAsiaTheme="minorEastAsia" w:hAnsiTheme="majorHAnsi" w:cs="Times New Roman"/>
                <w:bCs/>
                <w:color w:val="000000"/>
                <w:lang w:eastAsia="es-ES"/>
              </w:rPr>
            </w:pPr>
          </w:p>
        </w:tc>
        <w:tc>
          <w:tcPr>
            <w:tcW w:w="3118" w:type="dxa"/>
            <w:vMerge/>
          </w:tcPr>
          <w:p w14:paraId="42651B89" w14:textId="77777777" w:rsidR="00CA5315" w:rsidRPr="003A208C" w:rsidRDefault="00CA5315" w:rsidP="003334CA">
            <w:pPr>
              <w:spacing w:after="0"/>
              <w:rPr>
                <w:rFonts w:asciiTheme="majorHAnsi" w:eastAsiaTheme="minorEastAsia" w:hAnsiTheme="majorHAnsi" w:cs="Times New Roman"/>
                <w:bCs/>
                <w:color w:val="000000"/>
                <w:lang w:eastAsia="es-ES"/>
              </w:rPr>
            </w:pPr>
          </w:p>
        </w:tc>
      </w:tr>
      <w:tr w:rsidR="00480B28" w:rsidRPr="003A208C" w14:paraId="4D9DDDDA" w14:textId="77777777" w:rsidTr="00480B28">
        <w:trPr>
          <w:trHeight w:val="21"/>
        </w:trPr>
        <w:tc>
          <w:tcPr>
            <w:tcW w:w="1833" w:type="dxa"/>
          </w:tcPr>
          <w:p w14:paraId="55354B44" w14:textId="4E88E3C6" w:rsidR="00480B28" w:rsidRPr="003A208C" w:rsidRDefault="00B47A4A" w:rsidP="003334CA">
            <w:pPr>
              <w:spacing w:after="0"/>
              <w:rPr>
                <w:rFonts w:asciiTheme="majorHAnsi" w:eastAsiaTheme="minorEastAsia" w:hAnsiTheme="majorHAnsi" w:cs="Times New Roman"/>
                <w:b/>
                <w:bCs/>
                <w:color w:val="000000"/>
                <w:lang w:eastAsia="es-ES"/>
              </w:rPr>
            </w:pPr>
            <w:r w:rsidRPr="003A208C">
              <w:rPr>
                <w:rFonts w:asciiTheme="majorHAnsi" w:eastAsiaTheme="minorEastAsia" w:hAnsiTheme="majorHAnsi" w:cs="Times New Roman"/>
                <w:b/>
                <w:bCs/>
                <w:color w:val="000000"/>
                <w:lang w:eastAsia="es-ES"/>
              </w:rPr>
              <w:t>Riesgo total</w:t>
            </w:r>
          </w:p>
        </w:tc>
        <w:tc>
          <w:tcPr>
            <w:tcW w:w="2528" w:type="dxa"/>
          </w:tcPr>
          <w:p w14:paraId="789558E6" w14:textId="77777777" w:rsidR="00480B28" w:rsidRPr="003A208C" w:rsidRDefault="00480B28" w:rsidP="003334CA">
            <w:pPr>
              <w:spacing w:after="0"/>
              <w:rPr>
                <w:rFonts w:asciiTheme="majorHAnsi" w:eastAsiaTheme="minorEastAsia" w:hAnsiTheme="majorHAnsi" w:cs="Times New Roman"/>
                <w:bCs/>
                <w:color w:val="000000"/>
                <w:lang w:eastAsia="es-ES"/>
              </w:rPr>
            </w:pPr>
          </w:p>
        </w:tc>
        <w:tc>
          <w:tcPr>
            <w:tcW w:w="2835" w:type="dxa"/>
          </w:tcPr>
          <w:p w14:paraId="148070A9" w14:textId="77777777" w:rsidR="00480B28" w:rsidRPr="003A208C" w:rsidRDefault="00480B28" w:rsidP="003334CA">
            <w:pPr>
              <w:spacing w:after="0"/>
              <w:rPr>
                <w:rFonts w:asciiTheme="majorHAnsi" w:eastAsiaTheme="minorEastAsia" w:hAnsiTheme="majorHAnsi" w:cs="Times New Roman"/>
                <w:bCs/>
                <w:color w:val="000000"/>
                <w:lang w:eastAsia="es-ES"/>
              </w:rPr>
            </w:pPr>
          </w:p>
        </w:tc>
        <w:tc>
          <w:tcPr>
            <w:tcW w:w="1418" w:type="dxa"/>
          </w:tcPr>
          <w:p w14:paraId="1E6EB5AC" w14:textId="77777777" w:rsidR="00480B28" w:rsidRPr="003A208C" w:rsidRDefault="00480B28" w:rsidP="003334CA">
            <w:pPr>
              <w:spacing w:after="0"/>
              <w:rPr>
                <w:rFonts w:asciiTheme="majorHAnsi" w:eastAsiaTheme="minorEastAsia" w:hAnsiTheme="majorHAnsi" w:cs="Times New Roman"/>
                <w:bCs/>
                <w:color w:val="000000"/>
                <w:lang w:eastAsia="es-ES"/>
              </w:rPr>
            </w:pPr>
          </w:p>
        </w:tc>
        <w:tc>
          <w:tcPr>
            <w:tcW w:w="1417" w:type="dxa"/>
          </w:tcPr>
          <w:p w14:paraId="183C5CC1" w14:textId="77777777" w:rsidR="00480B28" w:rsidRPr="003A208C" w:rsidRDefault="00480B28" w:rsidP="003334CA">
            <w:pPr>
              <w:spacing w:after="0"/>
              <w:rPr>
                <w:rFonts w:asciiTheme="majorHAnsi" w:eastAsiaTheme="minorEastAsia" w:hAnsiTheme="majorHAnsi" w:cs="Times New Roman"/>
                <w:bCs/>
                <w:color w:val="000000"/>
                <w:lang w:eastAsia="es-ES"/>
              </w:rPr>
            </w:pPr>
          </w:p>
        </w:tc>
        <w:tc>
          <w:tcPr>
            <w:tcW w:w="1418" w:type="dxa"/>
          </w:tcPr>
          <w:p w14:paraId="5EBF26B6" w14:textId="2E970ADF" w:rsidR="00480B28" w:rsidRPr="003A208C" w:rsidRDefault="008C3572" w:rsidP="003334CA">
            <w:pPr>
              <w:spacing w:after="0"/>
              <w:rPr>
                <w:rFonts w:asciiTheme="majorHAnsi" w:eastAsiaTheme="minorEastAsia" w:hAnsiTheme="majorHAnsi" w:cs="Times New Roman"/>
                <w:b/>
                <w:bCs/>
                <w:color w:val="000000"/>
                <w:lang w:eastAsia="es-ES"/>
              </w:rPr>
            </w:pPr>
            <w:r w:rsidRPr="003A208C">
              <w:rPr>
                <w:rFonts w:asciiTheme="majorHAnsi" w:eastAsiaTheme="minorEastAsia" w:hAnsiTheme="majorHAnsi" w:cs="Times New Roman"/>
                <w:b/>
                <w:bCs/>
                <w:color w:val="000000"/>
                <w:lang w:eastAsia="es-ES"/>
              </w:rPr>
              <w:t>48</w:t>
            </w:r>
          </w:p>
        </w:tc>
        <w:tc>
          <w:tcPr>
            <w:tcW w:w="3118" w:type="dxa"/>
          </w:tcPr>
          <w:p w14:paraId="663D02B6" w14:textId="77777777" w:rsidR="00480B28" w:rsidRPr="003A208C" w:rsidRDefault="00480B28" w:rsidP="003334CA">
            <w:pPr>
              <w:spacing w:after="0"/>
              <w:rPr>
                <w:rFonts w:asciiTheme="majorHAnsi" w:eastAsiaTheme="minorEastAsia" w:hAnsiTheme="majorHAnsi" w:cs="Times New Roman"/>
                <w:bCs/>
                <w:color w:val="000000"/>
                <w:lang w:eastAsia="es-ES"/>
              </w:rPr>
            </w:pPr>
          </w:p>
        </w:tc>
      </w:tr>
    </w:tbl>
    <w:p w14:paraId="5D912B7D" w14:textId="77777777" w:rsidR="00480B28" w:rsidRPr="003A208C" w:rsidRDefault="00480B28" w:rsidP="003334CA">
      <w:pPr>
        <w:spacing w:after="0"/>
        <w:rPr>
          <w:rFonts w:asciiTheme="majorHAnsi" w:eastAsiaTheme="minorEastAsia" w:hAnsiTheme="majorHAnsi" w:cs="Times New Roman"/>
          <w:b/>
          <w:bCs/>
          <w:color w:val="000000"/>
          <w:lang w:eastAsia="es-ES"/>
        </w:rPr>
      </w:pPr>
    </w:p>
    <w:p w14:paraId="253E353A" w14:textId="77777777" w:rsidR="00480B28" w:rsidRPr="003A208C" w:rsidRDefault="00480B28" w:rsidP="003334CA">
      <w:pPr>
        <w:spacing w:after="0"/>
        <w:rPr>
          <w:rFonts w:asciiTheme="majorHAnsi" w:eastAsiaTheme="minorEastAsia" w:hAnsiTheme="majorHAnsi" w:cs="Times New Roman"/>
          <w:b/>
          <w:bCs/>
          <w:color w:val="000000"/>
          <w:lang w:eastAsia="es-ES"/>
        </w:rPr>
      </w:pPr>
    </w:p>
    <w:p w14:paraId="264E4875" w14:textId="77777777" w:rsidR="003334CA" w:rsidRPr="003A208C" w:rsidRDefault="003334CA" w:rsidP="003334CA">
      <w:pPr>
        <w:spacing w:after="0"/>
        <w:rPr>
          <w:rFonts w:asciiTheme="majorHAnsi" w:eastAsiaTheme="minorEastAsia" w:hAnsiTheme="majorHAnsi" w:cs="Times New Roman"/>
          <w:sz w:val="20"/>
          <w:szCs w:val="20"/>
          <w:lang w:eastAsia="es-ES"/>
        </w:rPr>
      </w:pPr>
      <w:r w:rsidRPr="003A208C">
        <w:rPr>
          <w:rFonts w:asciiTheme="majorHAnsi" w:eastAsiaTheme="minorEastAsia" w:hAnsiTheme="majorHAnsi" w:cs="Times New Roman"/>
          <w:color w:val="000000"/>
          <w:lang w:eastAsia="es-ES"/>
        </w:rPr>
        <w:t>El análisis de riesgo pondera la incidencia del riesgo en el Proyecto y estima el nivel (probabilidad de ocurrencia) del mismo. Se utilizará una escala numérica asignando un puntaje a cada Proyecto en base al siguiente esquema:</w:t>
      </w:r>
    </w:p>
    <w:p w14:paraId="243E7B22" w14:textId="77777777" w:rsidR="003334CA" w:rsidRPr="003A208C" w:rsidRDefault="003334CA" w:rsidP="003334CA">
      <w:pPr>
        <w:spacing w:after="0"/>
        <w:jc w:val="left"/>
        <w:rPr>
          <w:rFonts w:asciiTheme="majorHAnsi" w:eastAsia="Times New Roman" w:hAnsiTheme="majorHAnsi" w:cs="Times New Roman"/>
          <w:sz w:val="20"/>
          <w:szCs w:val="20"/>
          <w:lang w:eastAsia="es-ES"/>
        </w:rPr>
      </w:pPr>
    </w:p>
    <w:tbl>
      <w:tblPr>
        <w:tblW w:w="0" w:type="auto"/>
        <w:tblCellMar>
          <w:top w:w="15" w:type="dxa"/>
          <w:left w:w="15" w:type="dxa"/>
          <w:bottom w:w="15" w:type="dxa"/>
          <w:right w:w="15" w:type="dxa"/>
        </w:tblCellMar>
        <w:tblLook w:val="04A0" w:firstRow="1" w:lastRow="0" w:firstColumn="1" w:lastColumn="0" w:noHBand="0" w:noVBand="1"/>
      </w:tblPr>
      <w:tblGrid>
        <w:gridCol w:w="3411"/>
        <w:gridCol w:w="1368"/>
        <w:gridCol w:w="1734"/>
      </w:tblGrid>
      <w:tr w:rsidR="003334CA" w:rsidRPr="003A208C" w14:paraId="5681E0B6" w14:textId="77777777" w:rsidTr="003334CA">
        <w:trPr>
          <w:trHeight w:val="42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C069DE6" w14:textId="77777777" w:rsidR="003334CA" w:rsidRPr="003A208C" w:rsidRDefault="003334CA" w:rsidP="003334CA">
            <w:pPr>
              <w:spacing w:after="0"/>
              <w:jc w:val="center"/>
              <w:rPr>
                <w:rFonts w:asciiTheme="majorHAnsi" w:eastAsiaTheme="minorEastAsia" w:hAnsiTheme="majorHAnsi" w:cs="Times New Roman"/>
                <w:sz w:val="20"/>
                <w:szCs w:val="20"/>
                <w:lang w:eastAsia="es-ES"/>
              </w:rPr>
            </w:pPr>
            <w:r w:rsidRPr="003A208C">
              <w:rPr>
                <w:rFonts w:asciiTheme="majorHAnsi" w:eastAsiaTheme="minorEastAsia" w:hAnsiTheme="majorHAnsi" w:cs="Times New Roman"/>
                <w:b/>
                <w:bCs/>
                <w:color w:val="000000"/>
                <w:lang w:eastAsia="es-ES"/>
              </w:rPr>
              <w:t>Factor de Riesgo</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4E42C29" w14:textId="77777777" w:rsidR="003334CA" w:rsidRPr="003A208C" w:rsidRDefault="003334CA" w:rsidP="003334CA">
            <w:pPr>
              <w:spacing w:after="0"/>
              <w:jc w:val="center"/>
              <w:rPr>
                <w:rFonts w:asciiTheme="majorHAnsi" w:eastAsiaTheme="minorEastAsia" w:hAnsiTheme="majorHAnsi" w:cs="Times New Roman"/>
                <w:sz w:val="20"/>
                <w:szCs w:val="20"/>
                <w:lang w:eastAsia="es-ES"/>
              </w:rPr>
            </w:pPr>
            <w:r w:rsidRPr="003A208C">
              <w:rPr>
                <w:rFonts w:asciiTheme="majorHAnsi" w:eastAsiaTheme="minorEastAsia" w:hAnsiTheme="majorHAnsi" w:cs="Times New Roman"/>
                <w:b/>
                <w:bCs/>
                <w:color w:val="000000"/>
                <w:lang w:eastAsia="es-ES"/>
              </w:rPr>
              <w:t>Ponderación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07F1628" w14:textId="77777777" w:rsidR="003334CA" w:rsidRPr="003A208C" w:rsidRDefault="003334CA" w:rsidP="003334CA">
            <w:pPr>
              <w:spacing w:after="0"/>
              <w:jc w:val="center"/>
              <w:rPr>
                <w:rFonts w:asciiTheme="majorHAnsi" w:eastAsiaTheme="minorEastAsia" w:hAnsiTheme="majorHAnsi" w:cs="Times New Roman"/>
                <w:sz w:val="20"/>
                <w:szCs w:val="20"/>
                <w:lang w:eastAsia="es-ES"/>
              </w:rPr>
            </w:pPr>
            <w:r w:rsidRPr="003A208C">
              <w:rPr>
                <w:rFonts w:asciiTheme="majorHAnsi" w:eastAsiaTheme="minorEastAsia" w:hAnsiTheme="majorHAnsi" w:cs="Times New Roman"/>
                <w:b/>
                <w:bCs/>
                <w:color w:val="000000"/>
                <w:lang w:eastAsia="es-ES"/>
              </w:rPr>
              <w:t>Nivel de riesgo</w:t>
            </w:r>
          </w:p>
        </w:tc>
      </w:tr>
      <w:tr w:rsidR="003334CA" w:rsidRPr="003A208C" w14:paraId="4603B516" w14:textId="77777777" w:rsidTr="003334CA">
        <w:trPr>
          <w:trHeight w:val="405"/>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F967A69" w14:textId="77777777" w:rsidR="003334CA" w:rsidRPr="003A208C" w:rsidRDefault="003334CA" w:rsidP="003334CA">
            <w:pPr>
              <w:spacing w:after="0"/>
              <w:rPr>
                <w:rFonts w:asciiTheme="majorHAnsi" w:eastAsiaTheme="minorEastAsia" w:hAnsiTheme="majorHAnsi" w:cs="Times New Roman"/>
                <w:sz w:val="20"/>
                <w:szCs w:val="20"/>
                <w:lang w:eastAsia="es-ES"/>
              </w:rPr>
            </w:pPr>
            <w:r w:rsidRPr="003A208C">
              <w:rPr>
                <w:rFonts w:asciiTheme="majorHAnsi" w:eastAsiaTheme="minorEastAsia" w:hAnsiTheme="majorHAnsi" w:cs="Times New Roman"/>
                <w:color w:val="000000"/>
                <w:lang w:eastAsia="es-ES"/>
              </w:rPr>
              <w:t>Contexto</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AE2F53F" w14:textId="77777777" w:rsidR="003334CA" w:rsidRPr="003A208C" w:rsidRDefault="003334CA" w:rsidP="003334CA">
            <w:pPr>
              <w:spacing w:after="0"/>
              <w:jc w:val="center"/>
              <w:rPr>
                <w:rFonts w:asciiTheme="majorHAnsi" w:eastAsiaTheme="minorEastAsia" w:hAnsiTheme="majorHAnsi" w:cs="Times New Roman"/>
                <w:sz w:val="20"/>
                <w:szCs w:val="20"/>
                <w:lang w:eastAsia="es-ES"/>
              </w:rPr>
            </w:pPr>
            <w:r w:rsidRPr="003A208C">
              <w:rPr>
                <w:rFonts w:asciiTheme="majorHAnsi" w:eastAsiaTheme="minorEastAsia" w:hAnsiTheme="majorHAnsi" w:cs="Times New Roman"/>
                <w:color w:val="000000"/>
                <w:lang w:eastAsia="es-ES"/>
              </w:rPr>
              <w:t>20</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FE74954" w14:textId="77777777" w:rsidR="003334CA" w:rsidRPr="003A208C" w:rsidRDefault="003334CA" w:rsidP="003334CA">
            <w:pPr>
              <w:spacing w:after="0"/>
              <w:rPr>
                <w:rFonts w:asciiTheme="majorHAnsi" w:eastAsiaTheme="minorEastAsia" w:hAnsiTheme="majorHAnsi" w:cs="Times New Roman"/>
                <w:sz w:val="20"/>
                <w:szCs w:val="20"/>
                <w:lang w:eastAsia="es-ES"/>
              </w:rPr>
            </w:pPr>
            <w:r w:rsidRPr="003A208C">
              <w:rPr>
                <w:rFonts w:asciiTheme="majorHAnsi" w:eastAsiaTheme="minorEastAsia" w:hAnsiTheme="majorHAnsi" w:cs="Times New Roman"/>
                <w:color w:val="000000"/>
                <w:lang w:eastAsia="es-ES"/>
              </w:rPr>
              <w:t>Alto:1</w:t>
            </w:r>
          </w:p>
          <w:p w14:paraId="76F4F461" w14:textId="77777777" w:rsidR="003334CA" w:rsidRPr="003A208C" w:rsidRDefault="003334CA" w:rsidP="003334CA">
            <w:pPr>
              <w:spacing w:after="0"/>
              <w:rPr>
                <w:rFonts w:asciiTheme="majorHAnsi" w:eastAsiaTheme="minorEastAsia" w:hAnsiTheme="majorHAnsi" w:cs="Times New Roman"/>
                <w:sz w:val="20"/>
                <w:szCs w:val="20"/>
                <w:lang w:eastAsia="es-ES"/>
              </w:rPr>
            </w:pPr>
            <w:r w:rsidRPr="003A208C">
              <w:rPr>
                <w:rFonts w:asciiTheme="majorHAnsi" w:eastAsiaTheme="minorEastAsia" w:hAnsiTheme="majorHAnsi" w:cs="Times New Roman"/>
                <w:color w:val="000000"/>
                <w:lang w:eastAsia="es-ES"/>
              </w:rPr>
              <w:t>Medio Alto: 0.80</w:t>
            </w:r>
          </w:p>
          <w:p w14:paraId="2E50176A" w14:textId="77777777" w:rsidR="003334CA" w:rsidRPr="003A208C" w:rsidRDefault="003334CA" w:rsidP="003334CA">
            <w:pPr>
              <w:spacing w:after="0"/>
              <w:rPr>
                <w:rFonts w:asciiTheme="majorHAnsi" w:eastAsiaTheme="minorEastAsia" w:hAnsiTheme="majorHAnsi" w:cs="Times New Roman"/>
                <w:sz w:val="20"/>
                <w:szCs w:val="20"/>
                <w:lang w:eastAsia="es-ES"/>
              </w:rPr>
            </w:pPr>
            <w:r w:rsidRPr="003A208C">
              <w:rPr>
                <w:rFonts w:asciiTheme="majorHAnsi" w:eastAsiaTheme="minorEastAsia" w:hAnsiTheme="majorHAnsi" w:cs="Times New Roman"/>
                <w:color w:val="000000"/>
                <w:lang w:eastAsia="es-ES"/>
              </w:rPr>
              <w:t>Medio: 0.40</w:t>
            </w:r>
          </w:p>
          <w:p w14:paraId="519EFFD2" w14:textId="77777777" w:rsidR="003334CA" w:rsidRPr="003A208C" w:rsidRDefault="003334CA" w:rsidP="003334CA">
            <w:pPr>
              <w:spacing w:after="0"/>
              <w:rPr>
                <w:rFonts w:asciiTheme="majorHAnsi" w:eastAsiaTheme="minorEastAsia" w:hAnsiTheme="majorHAnsi" w:cs="Times New Roman"/>
                <w:sz w:val="20"/>
                <w:szCs w:val="20"/>
                <w:lang w:eastAsia="es-ES"/>
              </w:rPr>
            </w:pPr>
            <w:r w:rsidRPr="003A208C">
              <w:rPr>
                <w:rFonts w:asciiTheme="majorHAnsi" w:eastAsiaTheme="minorEastAsia" w:hAnsiTheme="majorHAnsi" w:cs="Times New Roman"/>
                <w:color w:val="000000"/>
                <w:lang w:eastAsia="es-ES"/>
              </w:rPr>
              <w:t>Medio bajo: 0.20</w:t>
            </w:r>
          </w:p>
          <w:p w14:paraId="5BC8EB9C" w14:textId="77777777" w:rsidR="003334CA" w:rsidRPr="003A208C" w:rsidRDefault="003334CA" w:rsidP="003334CA">
            <w:pPr>
              <w:spacing w:after="0"/>
              <w:rPr>
                <w:rFonts w:asciiTheme="majorHAnsi" w:eastAsiaTheme="minorEastAsia" w:hAnsiTheme="majorHAnsi" w:cs="Times New Roman"/>
                <w:sz w:val="20"/>
                <w:szCs w:val="20"/>
                <w:lang w:eastAsia="es-ES"/>
              </w:rPr>
            </w:pPr>
            <w:r w:rsidRPr="003A208C">
              <w:rPr>
                <w:rFonts w:asciiTheme="majorHAnsi" w:eastAsiaTheme="minorEastAsia" w:hAnsiTheme="majorHAnsi" w:cs="Times New Roman"/>
                <w:color w:val="000000"/>
                <w:lang w:eastAsia="es-ES"/>
              </w:rPr>
              <w:t>Bajo: 0</w:t>
            </w:r>
          </w:p>
        </w:tc>
      </w:tr>
      <w:tr w:rsidR="003334CA" w:rsidRPr="003A208C" w14:paraId="7D1DEF6F" w14:textId="77777777" w:rsidTr="003334CA">
        <w:trPr>
          <w:trHeight w:val="405"/>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746D8AC" w14:textId="77777777" w:rsidR="003334CA" w:rsidRPr="003A208C" w:rsidRDefault="003334CA" w:rsidP="003334CA">
            <w:pPr>
              <w:spacing w:after="0"/>
              <w:jc w:val="left"/>
              <w:rPr>
                <w:rFonts w:asciiTheme="majorHAnsi" w:eastAsiaTheme="minorEastAsia" w:hAnsiTheme="majorHAnsi" w:cs="Times New Roman"/>
                <w:sz w:val="20"/>
                <w:szCs w:val="20"/>
                <w:lang w:eastAsia="es-ES"/>
              </w:rPr>
            </w:pPr>
            <w:r w:rsidRPr="003A208C">
              <w:rPr>
                <w:rFonts w:asciiTheme="majorHAnsi" w:eastAsiaTheme="minorEastAsia" w:hAnsiTheme="majorHAnsi" w:cs="Times New Roman"/>
                <w:color w:val="000000"/>
                <w:lang w:eastAsia="es-ES"/>
              </w:rPr>
              <w:t>Capacidad Institucional del Ejecutor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3F3037F" w14:textId="77777777" w:rsidR="003334CA" w:rsidRPr="003A208C" w:rsidRDefault="003334CA" w:rsidP="003334CA">
            <w:pPr>
              <w:spacing w:after="0"/>
              <w:jc w:val="center"/>
              <w:rPr>
                <w:rFonts w:asciiTheme="majorHAnsi" w:eastAsiaTheme="minorEastAsia" w:hAnsiTheme="majorHAnsi" w:cs="Times New Roman"/>
                <w:sz w:val="20"/>
                <w:szCs w:val="20"/>
                <w:lang w:eastAsia="es-ES"/>
              </w:rPr>
            </w:pPr>
            <w:r w:rsidRPr="003A208C">
              <w:rPr>
                <w:rFonts w:asciiTheme="majorHAnsi" w:eastAsiaTheme="minorEastAsia" w:hAnsiTheme="majorHAnsi" w:cs="Times New Roman"/>
                <w:color w:val="000000"/>
                <w:lang w:eastAsia="es-ES"/>
              </w:rPr>
              <w:t>50</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CD9DDC6" w14:textId="77777777" w:rsidR="003334CA" w:rsidRPr="003A208C" w:rsidRDefault="003334CA" w:rsidP="003334CA">
            <w:pPr>
              <w:spacing w:after="0"/>
              <w:jc w:val="left"/>
              <w:rPr>
                <w:rFonts w:asciiTheme="majorHAnsi" w:eastAsiaTheme="minorEastAsia" w:hAnsiTheme="majorHAnsi" w:cs="Times New Roman"/>
                <w:sz w:val="20"/>
                <w:szCs w:val="20"/>
                <w:lang w:eastAsia="es-ES"/>
              </w:rPr>
            </w:pPr>
          </w:p>
        </w:tc>
      </w:tr>
      <w:tr w:rsidR="003334CA" w:rsidRPr="003A208C" w14:paraId="327CF301" w14:textId="77777777" w:rsidTr="003334CA">
        <w:trPr>
          <w:trHeight w:val="405"/>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07774EE" w14:textId="77777777" w:rsidR="003334CA" w:rsidRPr="003A208C" w:rsidRDefault="003334CA" w:rsidP="003334CA">
            <w:pPr>
              <w:spacing w:after="0"/>
              <w:jc w:val="left"/>
              <w:rPr>
                <w:rFonts w:asciiTheme="majorHAnsi" w:eastAsiaTheme="minorEastAsia" w:hAnsiTheme="majorHAnsi" w:cs="Times New Roman"/>
                <w:sz w:val="20"/>
                <w:szCs w:val="20"/>
                <w:lang w:eastAsia="es-ES"/>
              </w:rPr>
            </w:pPr>
            <w:r w:rsidRPr="003A208C">
              <w:rPr>
                <w:rFonts w:asciiTheme="majorHAnsi" w:eastAsiaTheme="minorEastAsia" w:hAnsiTheme="majorHAnsi" w:cs="Times New Roman"/>
                <w:color w:val="000000"/>
                <w:lang w:eastAsia="es-ES"/>
              </w:rPr>
              <w:t>Complejidad del Proyecto</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1CD8ED4" w14:textId="77777777" w:rsidR="003334CA" w:rsidRPr="003A208C" w:rsidRDefault="003334CA" w:rsidP="003334CA">
            <w:pPr>
              <w:spacing w:after="0"/>
              <w:jc w:val="center"/>
              <w:rPr>
                <w:rFonts w:asciiTheme="majorHAnsi" w:eastAsiaTheme="minorEastAsia" w:hAnsiTheme="majorHAnsi" w:cs="Times New Roman"/>
                <w:sz w:val="20"/>
                <w:szCs w:val="20"/>
                <w:lang w:eastAsia="es-ES"/>
              </w:rPr>
            </w:pPr>
            <w:r w:rsidRPr="003A208C">
              <w:rPr>
                <w:rFonts w:asciiTheme="majorHAnsi" w:eastAsiaTheme="minorEastAsia" w:hAnsiTheme="majorHAnsi" w:cs="Times New Roman"/>
                <w:color w:val="000000"/>
                <w:lang w:eastAsia="es-ES"/>
              </w:rPr>
              <w:t>30</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5ED0F9E" w14:textId="77777777" w:rsidR="003334CA" w:rsidRPr="003A208C" w:rsidRDefault="003334CA" w:rsidP="003334CA">
            <w:pPr>
              <w:spacing w:after="0"/>
              <w:jc w:val="left"/>
              <w:rPr>
                <w:rFonts w:asciiTheme="majorHAnsi" w:eastAsiaTheme="minorEastAsia" w:hAnsiTheme="majorHAnsi" w:cs="Times New Roman"/>
                <w:sz w:val="20"/>
                <w:szCs w:val="20"/>
                <w:lang w:eastAsia="es-ES"/>
              </w:rPr>
            </w:pPr>
          </w:p>
        </w:tc>
      </w:tr>
    </w:tbl>
    <w:p w14:paraId="7E834D58" w14:textId="77777777" w:rsidR="003334CA" w:rsidRPr="003A208C" w:rsidRDefault="003334CA" w:rsidP="003334CA">
      <w:pPr>
        <w:spacing w:after="240"/>
        <w:jc w:val="left"/>
        <w:rPr>
          <w:rFonts w:asciiTheme="majorHAnsi" w:eastAsia="Times New Roman" w:hAnsiTheme="majorHAnsi" w:cs="Times New Roman"/>
          <w:sz w:val="20"/>
          <w:szCs w:val="20"/>
          <w:lang w:eastAsia="es-ES"/>
        </w:rPr>
      </w:pPr>
    </w:p>
    <w:p w14:paraId="0E3B1CF6" w14:textId="77777777" w:rsidR="003334CA" w:rsidRPr="003A208C" w:rsidRDefault="003334CA" w:rsidP="003334CA">
      <w:pPr>
        <w:spacing w:after="0"/>
        <w:rPr>
          <w:rFonts w:asciiTheme="majorHAnsi" w:eastAsiaTheme="minorEastAsia" w:hAnsiTheme="majorHAnsi" w:cs="Times New Roman"/>
          <w:sz w:val="20"/>
          <w:szCs w:val="20"/>
          <w:lang w:eastAsia="es-ES"/>
        </w:rPr>
      </w:pPr>
      <w:r w:rsidRPr="003A208C">
        <w:rPr>
          <w:rFonts w:asciiTheme="majorHAnsi" w:eastAsiaTheme="minorEastAsia" w:hAnsiTheme="majorHAnsi" w:cs="Times New Roman"/>
          <w:color w:val="000000"/>
          <w:lang w:eastAsia="es-ES"/>
        </w:rPr>
        <w:t xml:space="preserve">El nivel de riesgo total que asume la Oficina Local al seleccionar un proyecto surge de la sumatoria de los resultantes de la multiplicación de los ponderadores de cada dimensión o factor de riesgo, por los niveles de riesgo de cada uno de ellos. En consecuencia </w:t>
      </w:r>
      <w:r w:rsidRPr="003A208C">
        <w:rPr>
          <w:rFonts w:asciiTheme="majorHAnsi" w:eastAsiaTheme="minorEastAsia" w:hAnsiTheme="majorHAnsi" w:cs="Times New Roman"/>
          <w:b/>
          <w:bCs/>
          <w:color w:val="000000"/>
          <w:lang w:eastAsia="es-ES"/>
        </w:rPr>
        <w:t>el proyecto calificado con 100 será el más riesgoso, y el calificado con 0 el de menor riesgo inherente.</w:t>
      </w:r>
    </w:p>
    <w:p w14:paraId="0CD2C3BD" w14:textId="77777777" w:rsidR="003334CA" w:rsidRPr="003A208C" w:rsidRDefault="003334CA" w:rsidP="003334CA">
      <w:pPr>
        <w:spacing w:after="0"/>
        <w:jc w:val="left"/>
        <w:rPr>
          <w:rFonts w:asciiTheme="majorHAnsi" w:eastAsia="Times New Roman" w:hAnsiTheme="majorHAnsi" w:cs="Times New Roman"/>
          <w:sz w:val="20"/>
          <w:szCs w:val="20"/>
          <w:lang w:eastAsia="es-ES"/>
        </w:rPr>
      </w:pPr>
    </w:p>
    <w:p w14:paraId="422F860A" w14:textId="77777777" w:rsidR="00E1660D" w:rsidRPr="003A208C" w:rsidRDefault="00E1660D" w:rsidP="00A12D52">
      <w:pPr>
        <w:rPr>
          <w:rFonts w:asciiTheme="majorHAnsi" w:eastAsia="Calibri" w:hAnsiTheme="majorHAnsi"/>
        </w:rPr>
      </w:pPr>
    </w:p>
    <w:p w14:paraId="34360141" w14:textId="77777777" w:rsidR="00E1660D" w:rsidRPr="003A208C" w:rsidRDefault="00E1660D" w:rsidP="00A12D52">
      <w:pPr>
        <w:rPr>
          <w:rFonts w:asciiTheme="majorHAnsi" w:eastAsia="Calibri" w:hAnsiTheme="majorHAnsi"/>
        </w:rPr>
      </w:pPr>
    </w:p>
    <w:p w14:paraId="16DAE95E" w14:textId="77777777" w:rsidR="00E1660D" w:rsidRPr="003A208C" w:rsidRDefault="00E1660D" w:rsidP="00E1660D">
      <w:pPr>
        <w:jc w:val="right"/>
        <w:rPr>
          <w:rFonts w:asciiTheme="majorHAnsi" w:hAnsiTheme="majorHAnsi"/>
        </w:rPr>
      </w:pPr>
    </w:p>
    <w:sectPr w:rsidR="00E1660D" w:rsidRPr="003A208C" w:rsidSect="003334CA">
      <w:pgSz w:w="16840" w:h="1190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F0167A" w14:textId="77777777" w:rsidR="00A37AE9" w:rsidRDefault="00A37AE9" w:rsidP="00867373">
      <w:pPr>
        <w:spacing w:after="0"/>
      </w:pPr>
      <w:r>
        <w:separator/>
      </w:r>
    </w:p>
  </w:endnote>
  <w:endnote w:type="continuationSeparator" w:id="0">
    <w:p w14:paraId="4FE3B37A" w14:textId="77777777" w:rsidR="00A37AE9" w:rsidRDefault="00A37AE9" w:rsidP="0086737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auto"/>
    <w:pitch w:val="variable"/>
    <w:sig w:usb0="E00002FF" w:usb1="400004FF" w:usb2="00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Lucida Grande">
    <w:altName w:val="Segoe UI"/>
    <w:charset w:val="00"/>
    <w:family w:val="auto"/>
    <w:pitch w:val="variable"/>
    <w:sig w:usb0="E1000AEF"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DD38DB" w14:textId="77777777" w:rsidR="00A37AE9" w:rsidRDefault="00A37AE9" w:rsidP="00867373">
      <w:pPr>
        <w:spacing w:after="0"/>
      </w:pPr>
      <w:r>
        <w:separator/>
      </w:r>
    </w:p>
  </w:footnote>
  <w:footnote w:type="continuationSeparator" w:id="0">
    <w:p w14:paraId="6E7572E7" w14:textId="77777777" w:rsidR="00A37AE9" w:rsidRDefault="00A37AE9" w:rsidP="0086737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A074D2A"/>
    <w:multiLevelType w:val="multilevel"/>
    <w:tmpl w:val="48D0E82E"/>
    <w:lvl w:ilvl="0">
      <w:start w:val="1"/>
      <w:numFmt w:val="decimal"/>
      <w:lvlText w:val="%1."/>
      <w:lvlJc w:val="left"/>
      <w:pPr>
        <w:tabs>
          <w:tab w:val="num" w:pos="720"/>
        </w:tabs>
        <w:ind w:left="720" w:hanging="360"/>
      </w:pPr>
    </w:lvl>
    <w:lvl w:ilvl="1">
      <w:start w:val="13"/>
      <w:numFmt w:val="bullet"/>
      <w:lvlText w:val="-"/>
      <w:lvlJc w:val="left"/>
      <w:pPr>
        <w:ind w:left="1440" w:hanging="360"/>
      </w:pPr>
      <w:rPr>
        <w:rFonts w:ascii="Calibri" w:eastAsia="Times New Roman" w:hAnsi="Calibri" w:cs="Times New Roman"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6171DF"/>
    <w:multiLevelType w:val="multilevel"/>
    <w:tmpl w:val="8E6E8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AF660D"/>
    <w:multiLevelType w:val="multilevel"/>
    <w:tmpl w:val="B47EB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1373556"/>
    <w:multiLevelType w:val="hybridMultilevel"/>
    <w:tmpl w:val="0CDA7D72"/>
    <w:lvl w:ilvl="0" w:tplc="01AEDE1A">
      <w:start w:val="1"/>
      <w:numFmt w:val="decimal"/>
      <w:lvlText w:val="%1."/>
      <w:lvlJc w:val="left"/>
      <w:pPr>
        <w:ind w:left="720" w:hanging="360"/>
      </w:pPr>
      <w:rPr>
        <w:rFonts w:cs="Aria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65D72F45"/>
    <w:multiLevelType w:val="multilevel"/>
    <w:tmpl w:val="2B3CF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351D6C"/>
    <w:multiLevelType w:val="multilevel"/>
    <w:tmpl w:val="040699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8DD43EE"/>
    <w:multiLevelType w:val="hybridMultilevel"/>
    <w:tmpl w:val="6F9C22A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 w15:restartNumberingAfterBreak="0">
    <w:nsid w:val="6AF17C3F"/>
    <w:multiLevelType w:val="hybridMultilevel"/>
    <w:tmpl w:val="978A315A"/>
    <w:lvl w:ilvl="0" w:tplc="DD6E67B4">
      <w:start w:val="1"/>
      <w:numFmt w:val="bullet"/>
      <w:lvlText w:val=""/>
      <w:lvlJc w:val="left"/>
      <w:pPr>
        <w:tabs>
          <w:tab w:val="num" w:pos="720"/>
        </w:tabs>
        <w:ind w:left="720" w:hanging="360"/>
      </w:pPr>
      <w:rPr>
        <w:rFonts w:ascii="Symbol" w:hAnsi="Symbol" w:hint="default"/>
        <w:color w:val="auto"/>
        <w:sz w:val="16"/>
        <w:szCs w:val="16"/>
      </w:rPr>
    </w:lvl>
    <w:lvl w:ilvl="1" w:tplc="0C0A0005">
      <w:start w:val="1"/>
      <w:numFmt w:val="bullet"/>
      <w:lvlText w:val=""/>
      <w:lvlJc w:val="left"/>
      <w:pPr>
        <w:tabs>
          <w:tab w:val="num" w:pos="1440"/>
        </w:tabs>
        <w:ind w:left="1440" w:hanging="360"/>
      </w:pPr>
      <w:rPr>
        <w:rFonts w:ascii="Wingdings" w:hAnsi="Wingdings" w:hint="default"/>
        <w:color w:val="auto"/>
        <w:sz w:val="16"/>
        <w:szCs w:val="16"/>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6"/>
    <w:lvlOverride w:ilvl="0">
      <w:lvl w:ilvl="0">
        <w:numFmt w:val="lowerLetter"/>
        <w:lvlText w:val="%1."/>
        <w:lvlJc w:val="left"/>
      </w:lvl>
    </w:lvlOverride>
  </w:num>
  <w:num w:numId="3">
    <w:abstractNumId w:val="2"/>
  </w:num>
  <w:num w:numId="4">
    <w:abstractNumId w:val="5"/>
  </w:num>
  <w:num w:numId="5">
    <w:abstractNumId w:val="3"/>
  </w:num>
  <w:num w:numId="6">
    <w:abstractNumId w:val="8"/>
  </w:num>
  <w:num w:numId="7">
    <w:abstractNumId w:val="0"/>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444E9"/>
    <w:rsid w:val="000233BC"/>
    <w:rsid w:val="0002506B"/>
    <w:rsid w:val="00066008"/>
    <w:rsid w:val="00090D8E"/>
    <w:rsid w:val="000B24FC"/>
    <w:rsid w:val="000B5F82"/>
    <w:rsid w:val="000D6786"/>
    <w:rsid w:val="000F48BA"/>
    <w:rsid w:val="00111D0D"/>
    <w:rsid w:val="00122653"/>
    <w:rsid w:val="00141DC4"/>
    <w:rsid w:val="00184E7B"/>
    <w:rsid w:val="00186A52"/>
    <w:rsid w:val="001B1E29"/>
    <w:rsid w:val="001B1E8E"/>
    <w:rsid w:val="001B6335"/>
    <w:rsid w:val="001F2F4E"/>
    <w:rsid w:val="002002A8"/>
    <w:rsid w:val="002319B7"/>
    <w:rsid w:val="00257AD8"/>
    <w:rsid w:val="00280008"/>
    <w:rsid w:val="00284BB0"/>
    <w:rsid w:val="00292AA5"/>
    <w:rsid w:val="002A3A77"/>
    <w:rsid w:val="002A7838"/>
    <w:rsid w:val="002E251C"/>
    <w:rsid w:val="0030388C"/>
    <w:rsid w:val="00321D73"/>
    <w:rsid w:val="003334CA"/>
    <w:rsid w:val="00340A69"/>
    <w:rsid w:val="00356070"/>
    <w:rsid w:val="003617E5"/>
    <w:rsid w:val="003667E5"/>
    <w:rsid w:val="00396021"/>
    <w:rsid w:val="00396E7E"/>
    <w:rsid w:val="003A208C"/>
    <w:rsid w:val="003A45E2"/>
    <w:rsid w:val="003D79F8"/>
    <w:rsid w:val="003F13DF"/>
    <w:rsid w:val="003F5AE6"/>
    <w:rsid w:val="00400143"/>
    <w:rsid w:val="0042110B"/>
    <w:rsid w:val="00424FD8"/>
    <w:rsid w:val="00441D7F"/>
    <w:rsid w:val="004444E9"/>
    <w:rsid w:val="00456FC3"/>
    <w:rsid w:val="0045797C"/>
    <w:rsid w:val="00460850"/>
    <w:rsid w:val="00467159"/>
    <w:rsid w:val="00480B28"/>
    <w:rsid w:val="004A49E2"/>
    <w:rsid w:val="004B44DF"/>
    <w:rsid w:val="004C06AF"/>
    <w:rsid w:val="004C5FA0"/>
    <w:rsid w:val="004E1617"/>
    <w:rsid w:val="004E1DBA"/>
    <w:rsid w:val="00531C8A"/>
    <w:rsid w:val="00555A71"/>
    <w:rsid w:val="0058460E"/>
    <w:rsid w:val="005C4618"/>
    <w:rsid w:val="005D10B3"/>
    <w:rsid w:val="005F76DA"/>
    <w:rsid w:val="00616669"/>
    <w:rsid w:val="006228BB"/>
    <w:rsid w:val="0065699B"/>
    <w:rsid w:val="00661980"/>
    <w:rsid w:val="006654FE"/>
    <w:rsid w:val="0068645C"/>
    <w:rsid w:val="00693E74"/>
    <w:rsid w:val="006B101F"/>
    <w:rsid w:val="006F3022"/>
    <w:rsid w:val="007079FA"/>
    <w:rsid w:val="00716E07"/>
    <w:rsid w:val="00750AAB"/>
    <w:rsid w:val="00750B3B"/>
    <w:rsid w:val="0077550B"/>
    <w:rsid w:val="00784E80"/>
    <w:rsid w:val="0079111E"/>
    <w:rsid w:val="00793A04"/>
    <w:rsid w:val="007B1751"/>
    <w:rsid w:val="007D2C72"/>
    <w:rsid w:val="007F7DB7"/>
    <w:rsid w:val="008139EA"/>
    <w:rsid w:val="00820670"/>
    <w:rsid w:val="00851A3E"/>
    <w:rsid w:val="00866D67"/>
    <w:rsid w:val="00867373"/>
    <w:rsid w:val="00876150"/>
    <w:rsid w:val="008864B9"/>
    <w:rsid w:val="008867E4"/>
    <w:rsid w:val="00897702"/>
    <w:rsid w:val="008C3572"/>
    <w:rsid w:val="008E0289"/>
    <w:rsid w:val="008F0C38"/>
    <w:rsid w:val="008F44FC"/>
    <w:rsid w:val="009158BC"/>
    <w:rsid w:val="00917830"/>
    <w:rsid w:val="00925220"/>
    <w:rsid w:val="009311FC"/>
    <w:rsid w:val="00966CF0"/>
    <w:rsid w:val="00971884"/>
    <w:rsid w:val="009B723F"/>
    <w:rsid w:val="009B76F4"/>
    <w:rsid w:val="00A12D52"/>
    <w:rsid w:val="00A36DFC"/>
    <w:rsid w:val="00A3752F"/>
    <w:rsid w:val="00A37AE9"/>
    <w:rsid w:val="00A60DD1"/>
    <w:rsid w:val="00A6336E"/>
    <w:rsid w:val="00AB5E92"/>
    <w:rsid w:val="00AB6F78"/>
    <w:rsid w:val="00AC46D4"/>
    <w:rsid w:val="00AD5D92"/>
    <w:rsid w:val="00B0123E"/>
    <w:rsid w:val="00B0384D"/>
    <w:rsid w:val="00B04754"/>
    <w:rsid w:val="00B15887"/>
    <w:rsid w:val="00B23E94"/>
    <w:rsid w:val="00B33396"/>
    <w:rsid w:val="00B43093"/>
    <w:rsid w:val="00B433ED"/>
    <w:rsid w:val="00B43919"/>
    <w:rsid w:val="00B47A4A"/>
    <w:rsid w:val="00B53538"/>
    <w:rsid w:val="00B61FF2"/>
    <w:rsid w:val="00B72C1C"/>
    <w:rsid w:val="00B84875"/>
    <w:rsid w:val="00B932B6"/>
    <w:rsid w:val="00BA11BA"/>
    <w:rsid w:val="00BC5DFA"/>
    <w:rsid w:val="00BE62FF"/>
    <w:rsid w:val="00C24BF9"/>
    <w:rsid w:val="00C41E87"/>
    <w:rsid w:val="00C71E39"/>
    <w:rsid w:val="00C77C5C"/>
    <w:rsid w:val="00C804BF"/>
    <w:rsid w:val="00C84B7E"/>
    <w:rsid w:val="00C931A7"/>
    <w:rsid w:val="00CA5315"/>
    <w:rsid w:val="00CC0C2C"/>
    <w:rsid w:val="00CC732E"/>
    <w:rsid w:val="00D03523"/>
    <w:rsid w:val="00D03832"/>
    <w:rsid w:val="00D212B2"/>
    <w:rsid w:val="00D41C25"/>
    <w:rsid w:val="00D64942"/>
    <w:rsid w:val="00D701E3"/>
    <w:rsid w:val="00D73EAC"/>
    <w:rsid w:val="00D939CF"/>
    <w:rsid w:val="00DB0252"/>
    <w:rsid w:val="00DC34B7"/>
    <w:rsid w:val="00E05597"/>
    <w:rsid w:val="00E105A2"/>
    <w:rsid w:val="00E13980"/>
    <w:rsid w:val="00E1410B"/>
    <w:rsid w:val="00E1660D"/>
    <w:rsid w:val="00E37ED6"/>
    <w:rsid w:val="00E50A25"/>
    <w:rsid w:val="00E55D8B"/>
    <w:rsid w:val="00E660BB"/>
    <w:rsid w:val="00E71723"/>
    <w:rsid w:val="00E746BA"/>
    <w:rsid w:val="00E76BE7"/>
    <w:rsid w:val="00E90765"/>
    <w:rsid w:val="00E93D95"/>
    <w:rsid w:val="00ED777F"/>
    <w:rsid w:val="00EE4A0B"/>
    <w:rsid w:val="00F41C5C"/>
    <w:rsid w:val="00F53B6E"/>
    <w:rsid w:val="00F73978"/>
    <w:rsid w:val="00F77A5C"/>
    <w:rsid w:val="00FD40C1"/>
    <w:rsid w:val="00FD643A"/>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40EE822"/>
  <w14:defaultImageDpi w14:val="300"/>
  <w15:docId w15:val="{95E679F3-F930-4DC1-85D9-2BF854A06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4E9"/>
    <w:pPr>
      <w:spacing w:after="60"/>
      <w:jc w:val="both"/>
    </w:pPr>
    <w:rPr>
      <w:rFonts w:ascii="Arial" w:eastAsia="Arial" w:hAnsi="Arial" w:cs="Arial"/>
      <w:sz w:val="22"/>
      <w:szCs w:val="22"/>
      <w:lang w:val="es-AR"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C0C2C"/>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CC0C2C"/>
    <w:rPr>
      <w:rFonts w:ascii="Lucida Grande" w:hAnsi="Lucida Grande" w:cs="Lucida Grande"/>
      <w:sz w:val="18"/>
      <w:szCs w:val="18"/>
    </w:rPr>
  </w:style>
  <w:style w:type="paragraph" w:styleId="NormalWeb">
    <w:name w:val="Normal (Web)"/>
    <w:basedOn w:val="Normal"/>
    <w:uiPriority w:val="99"/>
    <w:unhideWhenUsed/>
    <w:rsid w:val="00AB5E92"/>
    <w:pPr>
      <w:spacing w:before="100" w:beforeAutospacing="1" w:after="100" w:afterAutospacing="1"/>
      <w:jc w:val="left"/>
    </w:pPr>
    <w:rPr>
      <w:rFonts w:ascii="Times" w:eastAsiaTheme="minorEastAsia" w:hAnsi="Times" w:cs="Times New Roman"/>
      <w:sz w:val="20"/>
      <w:szCs w:val="20"/>
      <w:lang w:eastAsia="es-ES"/>
    </w:rPr>
  </w:style>
  <w:style w:type="paragraph" w:styleId="Prrafodelista">
    <w:name w:val="List Paragraph"/>
    <w:basedOn w:val="Normal"/>
    <w:uiPriority w:val="34"/>
    <w:qFormat/>
    <w:rsid w:val="00925220"/>
    <w:pPr>
      <w:ind w:left="720"/>
      <w:contextualSpacing/>
    </w:pPr>
  </w:style>
  <w:style w:type="character" w:styleId="Refdecomentario">
    <w:name w:val="annotation reference"/>
    <w:basedOn w:val="Fuentedeprrafopredeter"/>
    <w:uiPriority w:val="99"/>
    <w:semiHidden/>
    <w:unhideWhenUsed/>
    <w:rsid w:val="00C77C5C"/>
    <w:rPr>
      <w:sz w:val="18"/>
      <w:szCs w:val="18"/>
    </w:rPr>
  </w:style>
  <w:style w:type="paragraph" w:styleId="Textocomentario">
    <w:name w:val="annotation text"/>
    <w:basedOn w:val="Normal"/>
    <w:link w:val="TextocomentarioCar"/>
    <w:uiPriority w:val="99"/>
    <w:semiHidden/>
    <w:unhideWhenUsed/>
    <w:rsid w:val="00C77C5C"/>
    <w:rPr>
      <w:sz w:val="24"/>
      <w:szCs w:val="24"/>
    </w:rPr>
  </w:style>
  <w:style w:type="character" w:customStyle="1" w:styleId="TextocomentarioCar">
    <w:name w:val="Texto comentario Car"/>
    <w:basedOn w:val="Fuentedeprrafopredeter"/>
    <w:link w:val="Textocomentario"/>
    <w:uiPriority w:val="99"/>
    <w:semiHidden/>
    <w:rsid w:val="00C77C5C"/>
    <w:rPr>
      <w:rFonts w:ascii="Arial" w:eastAsia="Arial" w:hAnsi="Arial" w:cs="Arial"/>
      <w:lang w:val="es-AR" w:eastAsia="es-AR"/>
    </w:rPr>
  </w:style>
  <w:style w:type="paragraph" w:styleId="Asuntodelcomentario">
    <w:name w:val="annotation subject"/>
    <w:basedOn w:val="Textocomentario"/>
    <w:next w:val="Textocomentario"/>
    <w:link w:val="AsuntodelcomentarioCar"/>
    <w:uiPriority w:val="99"/>
    <w:semiHidden/>
    <w:unhideWhenUsed/>
    <w:rsid w:val="00C77C5C"/>
    <w:rPr>
      <w:b/>
      <w:bCs/>
      <w:sz w:val="20"/>
      <w:szCs w:val="20"/>
    </w:rPr>
  </w:style>
  <w:style w:type="character" w:customStyle="1" w:styleId="AsuntodelcomentarioCar">
    <w:name w:val="Asunto del comentario Car"/>
    <w:basedOn w:val="TextocomentarioCar"/>
    <w:link w:val="Asuntodelcomentario"/>
    <w:uiPriority w:val="99"/>
    <w:semiHidden/>
    <w:rsid w:val="00C77C5C"/>
    <w:rPr>
      <w:rFonts w:ascii="Arial" w:eastAsia="Arial" w:hAnsi="Arial" w:cs="Arial"/>
      <w:b/>
      <w:bCs/>
      <w:sz w:val="20"/>
      <w:szCs w:val="20"/>
      <w:lang w:val="es-AR" w:eastAsia="es-AR"/>
    </w:rPr>
  </w:style>
  <w:style w:type="paragraph" w:styleId="Textonotapie">
    <w:name w:val="footnote text"/>
    <w:basedOn w:val="Normal"/>
    <w:link w:val="TextonotapieCar"/>
    <w:uiPriority w:val="99"/>
    <w:unhideWhenUsed/>
    <w:rsid w:val="00867373"/>
    <w:pPr>
      <w:spacing w:after="0"/>
    </w:pPr>
    <w:rPr>
      <w:sz w:val="24"/>
      <w:szCs w:val="24"/>
    </w:rPr>
  </w:style>
  <w:style w:type="character" w:customStyle="1" w:styleId="TextonotapieCar">
    <w:name w:val="Texto nota pie Car"/>
    <w:basedOn w:val="Fuentedeprrafopredeter"/>
    <w:link w:val="Textonotapie"/>
    <w:uiPriority w:val="99"/>
    <w:rsid w:val="00867373"/>
    <w:rPr>
      <w:rFonts w:ascii="Arial" w:eastAsia="Arial" w:hAnsi="Arial" w:cs="Arial"/>
      <w:lang w:val="es-AR" w:eastAsia="es-AR"/>
    </w:rPr>
  </w:style>
  <w:style w:type="character" w:styleId="Refdenotaalpie">
    <w:name w:val="footnote reference"/>
    <w:basedOn w:val="Fuentedeprrafopredeter"/>
    <w:uiPriority w:val="99"/>
    <w:unhideWhenUsed/>
    <w:rsid w:val="00867373"/>
    <w:rPr>
      <w:vertAlign w:val="superscript"/>
    </w:rPr>
  </w:style>
  <w:style w:type="character" w:styleId="Hipervnculo">
    <w:name w:val="Hyperlink"/>
    <w:basedOn w:val="Fuentedeprrafopredeter"/>
    <w:uiPriority w:val="99"/>
    <w:unhideWhenUsed/>
    <w:rsid w:val="00867373"/>
    <w:rPr>
      <w:color w:val="0000FF" w:themeColor="hyperlink"/>
      <w:u w:val="single"/>
    </w:rPr>
  </w:style>
  <w:style w:type="table" w:styleId="Tablaconcuadrcula">
    <w:name w:val="Table Grid"/>
    <w:basedOn w:val="Tablanormal"/>
    <w:uiPriority w:val="59"/>
    <w:rsid w:val="000250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23510">
      <w:bodyDiv w:val="1"/>
      <w:marLeft w:val="0"/>
      <w:marRight w:val="0"/>
      <w:marTop w:val="0"/>
      <w:marBottom w:val="0"/>
      <w:divBdr>
        <w:top w:val="none" w:sz="0" w:space="0" w:color="auto"/>
        <w:left w:val="none" w:sz="0" w:space="0" w:color="auto"/>
        <w:bottom w:val="none" w:sz="0" w:space="0" w:color="auto"/>
        <w:right w:val="none" w:sz="0" w:space="0" w:color="auto"/>
      </w:divBdr>
    </w:div>
    <w:div w:id="41486783">
      <w:bodyDiv w:val="1"/>
      <w:marLeft w:val="0"/>
      <w:marRight w:val="0"/>
      <w:marTop w:val="0"/>
      <w:marBottom w:val="0"/>
      <w:divBdr>
        <w:top w:val="none" w:sz="0" w:space="0" w:color="auto"/>
        <w:left w:val="none" w:sz="0" w:space="0" w:color="auto"/>
        <w:bottom w:val="none" w:sz="0" w:space="0" w:color="auto"/>
        <w:right w:val="none" w:sz="0" w:space="0" w:color="auto"/>
      </w:divBdr>
      <w:divsChild>
        <w:div w:id="913971315">
          <w:marLeft w:val="432"/>
          <w:marRight w:val="0"/>
          <w:marTop w:val="0"/>
          <w:marBottom w:val="0"/>
          <w:divBdr>
            <w:top w:val="none" w:sz="0" w:space="0" w:color="auto"/>
            <w:left w:val="none" w:sz="0" w:space="0" w:color="auto"/>
            <w:bottom w:val="none" w:sz="0" w:space="0" w:color="auto"/>
            <w:right w:val="none" w:sz="0" w:space="0" w:color="auto"/>
          </w:divBdr>
        </w:div>
      </w:divsChild>
    </w:div>
    <w:div w:id="271590097">
      <w:bodyDiv w:val="1"/>
      <w:marLeft w:val="0"/>
      <w:marRight w:val="0"/>
      <w:marTop w:val="0"/>
      <w:marBottom w:val="0"/>
      <w:divBdr>
        <w:top w:val="none" w:sz="0" w:space="0" w:color="auto"/>
        <w:left w:val="none" w:sz="0" w:space="0" w:color="auto"/>
        <w:bottom w:val="none" w:sz="0" w:space="0" w:color="auto"/>
        <w:right w:val="none" w:sz="0" w:space="0" w:color="auto"/>
      </w:divBdr>
    </w:div>
    <w:div w:id="315376832">
      <w:bodyDiv w:val="1"/>
      <w:marLeft w:val="0"/>
      <w:marRight w:val="0"/>
      <w:marTop w:val="0"/>
      <w:marBottom w:val="0"/>
      <w:divBdr>
        <w:top w:val="none" w:sz="0" w:space="0" w:color="auto"/>
        <w:left w:val="none" w:sz="0" w:space="0" w:color="auto"/>
        <w:bottom w:val="none" w:sz="0" w:space="0" w:color="auto"/>
        <w:right w:val="none" w:sz="0" w:space="0" w:color="auto"/>
      </w:divBdr>
    </w:div>
    <w:div w:id="367149231">
      <w:bodyDiv w:val="1"/>
      <w:marLeft w:val="0"/>
      <w:marRight w:val="0"/>
      <w:marTop w:val="0"/>
      <w:marBottom w:val="0"/>
      <w:divBdr>
        <w:top w:val="none" w:sz="0" w:space="0" w:color="auto"/>
        <w:left w:val="none" w:sz="0" w:space="0" w:color="auto"/>
        <w:bottom w:val="none" w:sz="0" w:space="0" w:color="auto"/>
        <w:right w:val="none" w:sz="0" w:space="0" w:color="auto"/>
      </w:divBdr>
    </w:div>
    <w:div w:id="373315465">
      <w:bodyDiv w:val="1"/>
      <w:marLeft w:val="0"/>
      <w:marRight w:val="0"/>
      <w:marTop w:val="0"/>
      <w:marBottom w:val="0"/>
      <w:divBdr>
        <w:top w:val="none" w:sz="0" w:space="0" w:color="auto"/>
        <w:left w:val="none" w:sz="0" w:space="0" w:color="auto"/>
        <w:bottom w:val="none" w:sz="0" w:space="0" w:color="auto"/>
        <w:right w:val="none" w:sz="0" w:space="0" w:color="auto"/>
      </w:divBdr>
      <w:divsChild>
        <w:div w:id="1068460954">
          <w:marLeft w:val="-108"/>
          <w:marRight w:val="0"/>
          <w:marTop w:val="0"/>
          <w:marBottom w:val="0"/>
          <w:divBdr>
            <w:top w:val="none" w:sz="0" w:space="0" w:color="auto"/>
            <w:left w:val="none" w:sz="0" w:space="0" w:color="auto"/>
            <w:bottom w:val="none" w:sz="0" w:space="0" w:color="auto"/>
            <w:right w:val="none" w:sz="0" w:space="0" w:color="auto"/>
          </w:divBdr>
        </w:div>
      </w:divsChild>
    </w:div>
    <w:div w:id="599801204">
      <w:bodyDiv w:val="1"/>
      <w:marLeft w:val="0"/>
      <w:marRight w:val="0"/>
      <w:marTop w:val="0"/>
      <w:marBottom w:val="0"/>
      <w:divBdr>
        <w:top w:val="none" w:sz="0" w:space="0" w:color="auto"/>
        <w:left w:val="none" w:sz="0" w:space="0" w:color="auto"/>
        <w:bottom w:val="none" w:sz="0" w:space="0" w:color="auto"/>
        <w:right w:val="none" w:sz="0" w:space="0" w:color="auto"/>
      </w:divBdr>
    </w:div>
    <w:div w:id="720982404">
      <w:bodyDiv w:val="1"/>
      <w:marLeft w:val="0"/>
      <w:marRight w:val="0"/>
      <w:marTop w:val="0"/>
      <w:marBottom w:val="0"/>
      <w:divBdr>
        <w:top w:val="none" w:sz="0" w:space="0" w:color="auto"/>
        <w:left w:val="none" w:sz="0" w:space="0" w:color="auto"/>
        <w:bottom w:val="none" w:sz="0" w:space="0" w:color="auto"/>
        <w:right w:val="none" w:sz="0" w:space="0" w:color="auto"/>
      </w:divBdr>
    </w:div>
    <w:div w:id="731076150">
      <w:bodyDiv w:val="1"/>
      <w:marLeft w:val="0"/>
      <w:marRight w:val="0"/>
      <w:marTop w:val="0"/>
      <w:marBottom w:val="0"/>
      <w:divBdr>
        <w:top w:val="none" w:sz="0" w:space="0" w:color="auto"/>
        <w:left w:val="none" w:sz="0" w:space="0" w:color="auto"/>
        <w:bottom w:val="none" w:sz="0" w:space="0" w:color="auto"/>
        <w:right w:val="none" w:sz="0" w:space="0" w:color="auto"/>
      </w:divBdr>
    </w:div>
    <w:div w:id="880946157">
      <w:bodyDiv w:val="1"/>
      <w:marLeft w:val="0"/>
      <w:marRight w:val="0"/>
      <w:marTop w:val="0"/>
      <w:marBottom w:val="0"/>
      <w:divBdr>
        <w:top w:val="none" w:sz="0" w:space="0" w:color="auto"/>
        <w:left w:val="none" w:sz="0" w:space="0" w:color="auto"/>
        <w:bottom w:val="none" w:sz="0" w:space="0" w:color="auto"/>
        <w:right w:val="none" w:sz="0" w:space="0" w:color="auto"/>
      </w:divBdr>
    </w:div>
    <w:div w:id="904948264">
      <w:bodyDiv w:val="1"/>
      <w:marLeft w:val="0"/>
      <w:marRight w:val="0"/>
      <w:marTop w:val="0"/>
      <w:marBottom w:val="0"/>
      <w:divBdr>
        <w:top w:val="none" w:sz="0" w:space="0" w:color="auto"/>
        <w:left w:val="none" w:sz="0" w:space="0" w:color="auto"/>
        <w:bottom w:val="none" w:sz="0" w:space="0" w:color="auto"/>
        <w:right w:val="none" w:sz="0" w:space="0" w:color="auto"/>
      </w:divBdr>
      <w:divsChild>
        <w:div w:id="595286080">
          <w:marLeft w:val="954"/>
          <w:marRight w:val="0"/>
          <w:marTop w:val="0"/>
          <w:marBottom w:val="0"/>
          <w:divBdr>
            <w:top w:val="none" w:sz="0" w:space="0" w:color="auto"/>
            <w:left w:val="none" w:sz="0" w:space="0" w:color="auto"/>
            <w:bottom w:val="none" w:sz="0" w:space="0" w:color="auto"/>
            <w:right w:val="none" w:sz="0" w:space="0" w:color="auto"/>
          </w:divBdr>
        </w:div>
      </w:divsChild>
    </w:div>
    <w:div w:id="967050002">
      <w:bodyDiv w:val="1"/>
      <w:marLeft w:val="0"/>
      <w:marRight w:val="0"/>
      <w:marTop w:val="0"/>
      <w:marBottom w:val="0"/>
      <w:divBdr>
        <w:top w:val="none" w:sz="0" w:space="0" w:color="auto"/>
        <w:left w:val="none" w:sz="0" w:space="0" w:color="auto"/>
        <w:bottom w:val="none" w:sz="0" w:space="0" w:color="auto"/>
        <w:right w:val="none" w:sz="0" w:space="0" w:color="auto"/>
      </w:divBdr>
    </w:div>
    <w:div w:id="1080711430">
      <w:bodyDiv w:val="1"/>
      <w:marLeft w:val="0"/>
      <w:marRight w:val="0"/>
      <w:marTop w:val="0"/>
      <w:marBottom w:val="0"/>
      <w:divBdr>
        <w:top w:val="none" w:sz="0" w:space="0" w:color="auto"/>
        <w:left w:val="none" w:sz="0" w:space="0" w:color="auto"/>
        <w:bottom w:val="none" w:sz="0" w:space="0" w:color="auto"/>
        <w:right w:val="none" w:sz="0" w:space="0" w:color="auto"/>
      </w:divBdr>
    </w:div>
    <w:div w:id="1128429171">
      <w:bodyDiv w:val="1"/>
      <w:marLeft w:val="0"/>
      <w:marRight w:val="0"/>
      <w:marTop w:val="0"/>
      <w:marBottom w:val="0"/>
      <w:divBdr>
        <w:top w:val="none" w:sz="0" w:space="0" w:color="auto"/>
        <w:left w:val="none" w:sz="0" w:space="0" w:color="auto"/>
        <w:bottom w:val="none" w:sz="0" w:space="0" w:color="auto"/>
        <w:right w:val="none" w:sz="0" w:space="0" w:color="auto"/>
      </w:divBdr>
    </w:div>
    <w:div w:id="1222719171">
      <w:bodyDiv w:val="1"/>
      <w:marLeft w:val="0"/>
      <w:marRight w:val="0"/>
      <w:marTop w:val="0"/>
      <w:marBottom w:val="0"/>
      <w:divBdr>
        <w:top w:val="none" w:sz="0" w:space="0" w:color="auto"/>
        <w:left w:val="none" w:sz="0" w:space="0" w:color="auto"/>
        <w:bottom w:val="none" w:sz="0" w:space="0" w:color="auto"/>
        <w:right w:val="none" w:sz="0" w:space="0" w:color="auto"/>
      </w:divBdr>
    </w:div>
    <w:div w:id="1291204184">
      <w:bodyDiv w:val="1"/>
      <w:marLeft w:val="0"/>
      <w:marRight w:val="0"/>
      <w:marTop w:val="0"/>
      <w:marBottom w:val="0"/>
      <w:divBdr>
        <w:top w:val="none" w:sz="0" w:space="0" w:color="auto"/>
        <w:left w:val="none" w:sz="0" w:space="0" w:color="auto"/>
        <w:bottom w:val="none" w:sz="0" w:space="0" w:color="auto"/>
        <w:right w:val="none" w:sz="0" w:space="0" w:color="auto"/>
      </w:divBdr>
    </w:div>
    <w:div w:id="1318193771">
      <w:bodyDiv w:val="1"/>
      <w:marLeft w:val="0"/>
      <w:marRight w:val="0"/>
      <w:marTop w:val="0"/>
      <w:marBottom w:val="0"/>
      <w:divBdr>
        <w:top w:val="none" w:sz="0" w:space="0" w:color="auto"/>
        <w:left w:val="none" w:sz="0" w:space="0" w:color="auto"/>
        <w:bottom w:val="none" w:sz="0" w:space="0" w:color="auto"/>
        <w:right w:val="none" w:sz="0" w:space="0" w:color="auto"/>
      </w:divBdr>
    </w:div>
    <w:div w:id="1324898390">
      <w:bodyDiv w:val="1"/>
      <w:marLeft w:val="0"/>
      <w:marRight w:val="0"/>
      <w:marTop w:val="0"/>
      <w:marBottom w:val="0"/>
      <w:divBdr>
        <w:top w:val="none" w:sz="0" w:space="0" w:color="auto"/>
        <w:left w:val="none" w:sz="0" w:space="0" w:color="auto"/>
        <w:bottom w:val="none" w:sz="0" w:space="0" w:color="auto"/>
        <w:right w:val="none" w:sz="0" w:space="0" w:color="auto"/>
      </w:divBdr>
    </w:div>
    <w:div w:id="1353146188">
      <w:bodyDiv w:val="1"/>
      <w:marLeft w:val="0"/>
      <w:marRight w:val="0"/>
      <w:marTop w:val="0"/>
      <w:marBottom w:val="0"/>
      <w:divBdr>
        <w:top w:val="none" w:sz="0" w:space="0" w:color="auto"/>
        <w:left w:val="none" w:sz="0" w:space="0" w:color="auto"/>
        <w:bottom w:val="none" w:sz="0" w:space="0" w:color="auto"/>
        <w:right w:val="none" w:sz="0" w:space="0" w:color="auto"/>
      </w:divBdr>
    </w:div>
    <w:div w:id="1865437064">
      <w:bodyDiv w:val="1"/>
      <w:marLeft w:val="0"/>
      <w:marRight w:val="0"/>
      <w:marTop w:val="0"/>
      <w:marBottom w:val="0"/>
      <w:divBdr>
        <w:top w:val="none" w:sz="0" w:space="0" w:color="auto"/>
        <w:left w:val="none" w:sz="0" w:space="0" w:color="auto"/>
        <w:bottom w:val="none" w:sz="0" w:space="0" w:color="auto"/>
        <w:right w:val="none" w:sz="0" w:space="0" w:color="auto"/>
      </w:divBdr>
    </w:div>
    <w:div w:id="1934699016">
      <w:bodyDiv w:val="1"/>
      <w:marLeft w:val="0"/>
      <w:marRight w:val="0"/>
      <w:marTop w:val="0"/>
      <w:marBottom w:val="0"/>
      <w:divBdr>
        <w:top w:val="none" w:sz="0" w:space="0" w:color="auto"/>
        <w:left w:val="none" w:sz="0" w:space="0" w:color="auto"/>
        <w:bottom w:val="none" w:sz="0" w:space="0" w:color="auto"/>
        <w:right w:val="none" w:sz="0" w:space="0" w:color="auto"/>
      </w:divBdr>
    </w:div>
    <w:div w:id="1937521716">
      <w:bodyDiv w:val="1"/>
      <w:marLeft w:val="0"/>
      <w:marRight w:val="0"/>
      <w:marTop w:val="0"/>
      <w:marBottom w:val="0"/>
      <w:divBdr>
        <w:top w:val="none" w:sz="0" w:space="0" w:color="auto"/>
        <w:left w:val="none" w:sz="0" w:space="0" w:color="auto"/>
        <w:bottom w:val="none" w:sz="0" w:space="0" w:color="auto"/>
        <w:right w:val="none" w:sz="0" w:space="0" w:color="auto"/>
      </w:divBdr>
    </w:div>
    <w:div w:id="1975332677">
      <w:bodyDiv w:val="1"/>
      <w:marLeft w:val="0"/>
      <w:marRight w:val="0"/>
      <w:marTop w:val="0"/>
      <w:marBottom w:val="0"/>
      <w:divBdr>
        <w:top w:val="none" w:sz="0" w:space="0" w:color="auto"/>
        <w:left w:val="none" w:sz="0" w:space="0" w:color="auto"/>
        <w:bottom w:val="none" w:sz="0" w:space="0" w:color="auto"/>
        <w:right w:val="none" w:sz="0" w:space="0" w:color="auto"/>
      </w:divBdr>
    </w:div>
    <w:div w:id="2022538759">
      <w:bodyDiv w:val="1"/>
      <w:marLeft w:val="0"/>
      <w:marRight w:val="0"/>
      <w:marTop w:val="0"/>
      <w:marBottom w:val="0"/>
      <w:divBdr>
        <w:top w:val="none" w:sz="0" w:space="0" w:color="auto"/>
        <w:left w:val="none" w:sz="0" w:space="0" w:color="auto"/>
        <w:bottom w:val="none" w:sz="0" w:space="0" w:color="auto"/>
        <w:right w:val="none" w:sz="0" w:space="0" w:color="auto"/>
      </w:divBdr>
    </w:div>
    <w:div w:id="204663421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unesdoc.unesco.org/ark:/48223/pf0000262862" TargetMode="External"/><Relationship Id="rId5" Type="http://schemas.openxmlformats.org/officeDocument/2006/relationships/styles" Target="styles.xml"/><Relationship Id="rId10" Type="http://schemas.openxmlformats.org/officeDocument/2006/relationships/hyperlink" Target="https://unesdoc.unesco.org/ark:/48223/pf0000262860?posInSet=1&amp;queryId=2edb958d-fd35-4765-8031-59a4b55bee27"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2020-12-22T05:00:00+00:00</DocCoverageEndDate>
    <FunctionalArea xmlns="d9cf0e28-81d2-4dc7-8b10-820d80ed680d">Programme and Project</FunctionalArea>
    <FileNameDescription xmlns="d9cf0e28-81d2-4dc7-8b10-820d80ed680d" xsi:nil="true"/>
    <ProjectNumber xmlns="d9cf0e28-81d2-4dc7-8b10-820d80ed680d">00130917</ProjectNumber>
    <DocumentType xmlns="d9cf0e28-81d2-4dc7-8b10-820d80ed680d">Evaluation Report</DocumentType>
    <Language xmlns="d9cf0e28-81d2-4dc7-8b10-820d80ed680d">Spanish</Language>
    <AuthorName xmlns="d9cf0e28-81d2-4dc7-8b10-820d80ed680d">UNDP</AuthorName>
    <DocumentCategory xmlns="d9cf0e28-81d2-4dc7-8b10-820d80ed680d">Project</DocumentCategory>
    <OperatingUnit xmlns="d9cf0e28-81d2-4dc7-8b10-820d80ed680d">ARG</OperatingUnit>
    <lcf76f155ced4ddcb4097134ff3c332f xmlns="d9cf0e28-81d2-4dc7-8b10-820d80ed680d">
      <Terms xmlns="http://schemas.microsoft.com/office/infopath/2007/PartnerControls"/>
    </lcf76f155ced4ddcb4097134ff3c332f>
    <FocusArea xmlns="d9cf0e28-81d2-4dc7-8b10-820d80ed680d">Democratic Governance</FocusArea>
    <DocCoverageStartDate xmlns="d9cf0e28-81d2-4dc7-8b10-820d80ed680d">2020-12-22T05:00:00+00:00</DocCoverageStartDate>
    <FileClassificationMode xmlns="d9cf0e28-81d2-4dc7-8b10-820d80ed680d">Public</FileClassificationMode>
    <OutputNumber xmlns="d9cf0e28-81d2-4dc7-8b10-820d80ed680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28e6c43a-9e99-4bdd-9574-a0fa4ea3b61e" ContentTypeId="0x010100F075C04BA242A84ABD3293E3AD35CDA4" PreviousValue="false"/>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66461260-4EE5-4153-95E9-79A190B5CDC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DCC03CF-501D-436E-B4DA-3865AE2AE1BB}">
  <ds:schemaRefs>
    <ds:schemaRef ds:uri="http://schemas.microsoft.com/sharepoint/v3/contenttype/forms"/>
  </ds:schemaRefs>
</ds:datastoreItem>
</file>

<file path=customXml/itemProps3.xml><?xml version="1.0" encoding="utf-8"?>
<ds:datastoreItem xmlns:ds="http://schemas.openxmlformats.org/officeDocument/2006/customXml" ds:itemID="{771E021A-FC44-4231-AA6F-6BFCB08A0170}"/>
</file>

<file path=customXml/itemProps4.xml><?xml version="1.0" encoding="utf-8"?>
<ds:datastoreItem xmlns:ds="http://schemas.openxmlformats.org/officeDocument/2006/customXml" ds:itemID="{0E726C43-79C2-4E0A-A82E-7C89AFAEB2E7}"/>
</file>

<file path=customXml/itemProps5.xml><?xml version="1.0" encoding="utf-8"?>
<ds:datastoreItem xmlns:ds="http://schemas.openxmlformats.org/officeDocument/2006/customXml" ds:itemID="{A3B40854-D337-4664-BBA2-1675E5BBFDE0}"/>
</file>

<file path=docProps/app.xml><?xml version="1.0" encoding="utf-8"?>
<Properties xmlns="http://schemas.openxmlformats.org/officeDocument/2006/extended-properties" xmlns:vt="http://schemas.openxmlformats.org/officeDocument/2006/docPropsVTypes">
  <Template>Normal</Template>
  <TotalTime>1517</TotalTime>
  <Pages>19</Pages>
  <Words>5535</Words>
  <Characters>30446</Characters>
  <Application>Microsoft Office Word</Application>
  <DocSecurity>0</DocSecurity>
  <Lines>253</Lines>
  <Paragraphs>71</Paragraphs>
  <ScaleCrop>false</ScaleCrop>
  <Company/>
  <LinksUpToDate>false</LinksUpToDate>
  <CharactersWithSpaces>35910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ARG 20008 Evaluación Ex Ante Prodoc</dc:title>
  <dc:subject/>
  <dc:creator/>
  <cp:keywords/>
  <dc:description/>
  <cp:lastModifiedBy>Maria Eugenia Galindez</cp:lastModifiedBy>
  <cp:revision>122</cp:revision>
  <dcterms:created xsi:type="dcterms:W3CDTF">2020-12-15T19:48:00Z</dcterms:created>
  <dcterms:modified xsi:type="dcterms:W3CDTF">2020-12-23T19:13:00Z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 LanguagesTaxHTField0">
    <vt:lpwstr>English|7f98b732-4b5b-4b70-ba90-a0eff09b5d2d</vt:lpwstr>
  </property>
  <property fmtid="{D5CDD505-2E9C-101B-9397-08002B2CF9AE}" pid="4" name="o4086b1782a74105bb5269035bccc8e9">
    <vt:lpwstr>Draft|148f9654-2d0b-4582-a532-49dea0090e5d</vt:lpwstr>
  </property>
  <property fmtid="{D5CDD505-2E9C-101B-9397-08002B2CF9AE}" pid="5" name="TaxCatchAll">
    <vt:lpwstr>38;#ARG|a08944a1-072a-4724-a1ed-9d97ea653d6c;#3;#Draft|148f9654-2d0b-4582-a532-49dea0090e5d;#1;#English|7f98b732-4b5b-4b70-ba90-a0eff09b5d2d</vt:lpwstr>
  </property>
  <property fmtid="{D5CDD505-2E9C-101B-9397-08002B2CF9AE}" pid="6" name="UNDPPOPPFunctionalArea">
    <vt:lpwstr>Programme and Project</vt:lpwstr>
  </property>
  <property fmtid="{D5CDD505-2E9C-101B-9397-08002B2CF9AE}" pid="7" name="gc6531b704974d528487414686b72f6f">
    <vt:lpwstr>ARG|a08944a1-072a-4724-a1ed-9d97ea653d6c</vt:lpwstr>
  </property>
  <property fmtid="{D5CDD505-2E9C-101B-9397-08002B2CF9AE}" pid="8" name="Atlas Document Status">
    <vt:lpwstr>3;#Draft|148f9654-2d0b-4582-a532-49dea0090e5d</vt:lpwstr>
  </property>
  <property fmtid="{D5CDD505-2E9C-101B-9397-08002B2CF9AE}" pid="9" name="UNDPPublishedDate">
    <vt:filetime>2021-01-20T01:00:00Z</vt:filetime>
  </property>
  <property fmtid="{D5CDD505-2E9C-101B-9397-08002B2CF9AE}" pid="10" name="UndpClassificationLevel">
    <vt:lpwstr>Public</vt:lpwstr>
  </property>
  <property fmtid="{D5CDD505-2E9C-101B-9397-08002B2CF9AE}" pid="11" name="PDC Document Category">
    <vt:lpwstr>Project</vt:lpwstr>
  </property>
  <property fmtid="{D5CDD505-2E9C-101B-9397-08002B2CF9AE}" pid="12" name="UN Languages">
    <vt:lpwstr>242;#Spanish|4e414ef6-23af-4d09-959b-cacfb5bc82ab</vt:lpwstr>
  </property>
  <property fmtid="{D5CDD505-2E9C-101B-9397-08002B2CF9AE}" pid="13" name="Operating Unit0">
    <vt:lpwstr>38;#ARG|a08944a1-072a-4724-a1ed-9d97ea653d6c</vt:lpwstr>
  </property>
  <property fmtid="{D5CDD505-2E9C-101B-9397-08002B2CF9AE}" pid="14" name="_dlc_DocIdItemGuid">
    <vt:lpwstr>0c8e89c2-3cd1-4823-8853-4340542863c5</vt:lpwstr>
  </property>
  <property fmtid="{D5CDD505-2E9C-101B-9397-08002B2CF9AE}" pid="15" name="UNDPCountry">
    <vt:lpwstr>328;#Countries|a717dd6e-9126-4003-94ed-57c51f020513</vt:lpwstr>
  </property>
  <property fmtid="{D5CDD505-2E9C-101B-9397-08002B2CF9AE}" pid="16" name="UNDPFocusAreas">
    <vt:lpwstr>227;#Democratic Governance|62461a33-f823-4f1a-904d-8e902184b1d7</vt:lpwstr>
  </property>
  <property fmtid="{D5CDD505-2E9C-101B-9397-08002B2CF9AE}" pid="17" name="Atlas Document Type">
    <vt:lpwstr>238;#Evaluation Report|b11ce74a-0edc-4fcd-a1cb-a08df7447e65</vt:lpwstr>
  </property>
  <property fmtid="{D5CDD505-2E9C-101B-9397-08002B2CF9AE}" pid="18" name="Order">
    <vt:r8>12933000</vt:r8>
  </property>
  <property fmtid="{D5CDD505-2E9C-101B-9397-08002B2CF9AE}" pid="19" name="_ExtendedDescription">
    <vt:lpwstr/>
  </property>
  <property fmtid="{D5CDD505-2E9C-101B-9397-08002B2CF9AE}" pid="20" name="MediaServiceImageTags">
    <vt:lpwstr/>
  </property>
</Properties>
</file>